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D5" w:rsidRDefault="007B48D5" w:rsidP="0026306B">
      <w:pPr>
        <w:jc w:val="center"/>
        <w:rPr>
          <w:rFonts w:ascii="Arial" w:hAnsi="Arial" w:cs="Arial"/>
          <w:b/>
          <w:bCs/>
        </w:rPr>
      </w:pPr>
      <w:r w:rsidRPr="002D61AD">
        <w:rPr>
          <w:rFonts w:ascii="Arial" w:hAnsi="Arial" w:cs="Arial"/>
          <w:b/>
          <w:bCs/>
        </w:rPr>
        <w:t>ПАСПОРТ МЕТОДИКИ</w:t>
      </w:r>
    </w:p>
    <w:p w:rsidR="007B48D5" w:rsidRPr="002D61AD" w:rsidRDefault="007B48D5" w:rsidP="0026306B">
      <w:pPr>
        <w:jc w:val="center"/>
        <w:rPr>
          <w:rFonts w:ascii="Arial" w:hAnsi="Arial" w:cs="Arial"/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8"/>
        <w:gridCol w:w="6162"/>
      </w:tblGrid>
      <w:tr w:rsidR="007B48D5" w:rsidRPr="002D61AD" w:rsidTr="00D84347">
        <w:tc>
          <w:tcPr>
            <w:tcW w:w="3408" w:type="dxa"/>
          </w:tcPr>
          <w:p w:rsidR="007B48D5" w:rsidRPr="002D61AD" w:rsidRDefault="007B48D5" w:rsidP="00C32A93">
            <w:pPr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  <w:bCs/>
              </w:rPr>
              <w:t>1.</w:t>
            </w:r>
            <w:r w:rsidR="00C32A93">
              <w:rPr>
                <w:rFonts w:ascii="Arial" w:hAnsi="Arial" w:cs="Arial"/>
                <w:bCs/>
              </w:rPr>
              <w:t xml:space="preserve"> </w:t>
            </w:r>
            <w:r w:rsidRPr="002D61AD">
              <w:rPr>
                <w:rFonts w:ascii="Arial" w:hAnsi="Arial" w:cs="Arial"/>
                <w:bCs/>
              </w:rPr>
              <w:t>Наименование методики</w:t>
            </w:r>
          </w:p>
        </w:tc>
        <w:tc>
          <w:tcPr>
            <w:tcW w:w="6162" w:type="dxa"/>
          </w:tcPr>
          <w:p w:rsidR="007B48D5" w:rsidRPr="00564F54" w:rsidRDefault="007B48D5" w:rsidP="00C32A93">
            <w:pPr>
              <w:jc w:val="both"/>
              <w:rPr>
                <w:rFonts w:ascii="Arial" w:hAnsi="Arial" w:cs="Arial"/>
                <w:lang w:val="en-US"/>
              </w:rPr>
            </w:pPr>
            <w:r w:rsidRPr="002D61AD">
              <w:rPr>
                <w:rFonts w:ascii="Arial" w:hAnsi="Arial" w:cs="Arial"/>
                <w:bCs/>
              </w:rPr>
              <w:t xml:space="preserve">Методика </w:t>
            </w:r>
            <w:r w:rsidRPr="002D61AD">
              <w:rPr>
                <w:rFonts w:ascii="Arial" w:hAnsi="Arial" w:cs="Arial"/>
                <w:bCs/>
                <w:iCs/>
              </w:rPr>
              <w:t>производства судебной пожарно-технической экспертизы</w:t>
            </w:r>
            <w:r w:rsidRPr="00564F54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  <w:lang w:val="en-US"/>
              </w:rPr>
              <w:t>13.1 (3)</w:t>
            </w:r>
          </w:p>
        </w:tc>
      </w:tr>
      <w:tr w:rsidR="007B48D5" w:rsidRPr="002D61AD" w:rsidTr="00D84347">
        <w:tc>
          <w:tcPr>
            <w:tcW w:w="3408" w:type="dxa"/>
          </w:tcPr>
          <w:p w:rsidR="007B48D5" w:rsidRPr="002D61AD" w:rsidRDefault="007B48D5" w:rsidP="000201C0">
            <w:pPr>
              <w:shd w:val="clear" w:color="auto" w:fill="FFFFFF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  <w:bCs/>
                <w:spacing w:val="-4"/>
              </w:rPr>
              <w:t xml:space="preserve">2. Информация </w:t>
            </w:r>
            <w:r w:rsidRPr="002D61AD">
              <w:rPr>
                <w:rFonts w:ascii="Arial" w:hAnsi="Arial" w:cs="Arial"/>
                <w:spacing w:val="-4"/>
                <w:lang w:val="kk-KZ"/>
              </w:rPr>
              <w:t xml:space="preserve">о составителях </w:t>
            </w:r>
            <w:r w:rsidRPr="002D61AD">
              <w:rPr>
                <w:rFonts w:ascii="Arial" w:hAnsi="Arial" w:cs="Arial"/>
                <w:bCs/>
              </w:rPr>
              <w:t xml:space="preserve">экспертной </w:t>
            </w:r>
            <w:r w:rsidRPr="002D61AD">
              <w:rPr>
                <w:rFonts w:ascii="Arial" w:hAnsi="Arial" w:cs="Arial"/>
              </w:rPr>
              <w:t>методики</w:t>
            </w:r>
          </w:p>
        </w:tc>
        <w:tc>
          <w:tcPr>
            <w:tcW w:w="6162" w:type="dxa"/>
          </w:tcPr>
          <w:p w:rsidR="007B48D5" w:rsidRPr="002D61AD" w:rsidRDefault="007B48D5" w:rsidP="000201C0">
            <w:pPr>
              <w:jc w:val="both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>Нам А.Г.</w:t>
            </w:r>
          </w:p>
          <w:p w:rsidR="007B48D5" w:rsidRPr="002D61AD" w:rsidRDefault="007B48D5" w:rsidP="000201C0">
            <w:pPr>
              <w:jc w:val="both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>Гусева Н.Г.</w:t>
            </w:r>
          </w:p>
          <w:p w:rsidR="007B48D5" w:rsidRPr="002D61AD" w:rsidRDefault="007B48D5" w:rsidP="000201C0">
            <w:pPr>
              <w:jc w:val="both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 xml:space="preserve"> </w:t>
            </w:r>
          </w:p>
        </w:tc>
      </w:tr>
      <w:tr w:rsidR="007B48D5" w:rsidRPr="002D61AD" w:rsidTr="00D84347">
        <w:tc>
          <w:tcPr>
            <w:tcW w:w="3408" w:type="dxa"/>
          </w:tcPr>
          <w:p w:rsidR="007B48D5" w:rsidRPr="002D61AD" w:rsidRDefault="007B48D5" w:rsidP="000201C0">
            <w:pPr>
              <w:shd w:val="clear" w:color="auto" w:fill="FFFFFF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>3. Сущность методики</w:t>
            </w:r>
          </w:p>
        </w:tc>
        <w:tc>
          <w:tcPr>
            <w:tcW w:w="6162" w:type="dxa"/>
          </w:tcPr>
          <w:p w:rsidR="007B48D5" w:rsidRPr="002D61AD" w:rsidRDefault="007B48D5" w:rsidP="000201C0">
            <w:pPr>
              <w:contextualSpacing/>
              <w:jc w:val="both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 xml:space="preserve">Методика предназначена для </w:t>
            </w:r>
            <w:r w:rsidR="00C32A93" w:rsidRPr="002D61AD">
              <w:rPr>
                <w:rFonts w:ascii="Arial" w:hAnsi="Arial" w:cs="Arial"/>
              </w:rPr>
              <w:t>исследования проявление</w:t>
            </w:r>
            <w:r w:rsidRPr="002D61AD">
              <w:rPr>
                <w:rFonts w:ascii="Arial" w:hAnsi="Arial" w:cs="Arial"/>
              </w:rPr>
              <w:t xml:space="preserve"> закономерностей механизма возникновения и развития пожара, закономерностей следообразования на конкретных объектах, исследование которых в совокупности позволяет дать технико-криминалистическую характеристику преступления в целях установления истины по делу о пожаре</w:t>
            </w:r>
          </w:p>
        </w:tc>
      </w:tr>
      <w:tr w:rsidR="007B48D5" w:rsidRPr="002D61AD" w:rsidTr="00D84347">
        <w:tc>
          <w:tcPr>
            <w:tcW w:w="3408" w:type="dxa"/>
          </w:tcPr>
          <w:p w:rsidR="007B48D5" w:rsidRPr="002D61AD" w:rsidRDefault="007B48D5" w:rsidP="000201C0">
            <w:pPr>
              <w:shd w:val="clear" w:color="auto" w:fill="FFFFFF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>3.1. Экспертные задачи, решаемые методикой</w:t>
            </w:r>
          </w:p>
        </w:tc>
        <w:tc>
          <w:tcPr>
            <w:tcW w:w="6162" w:type="dxa"/>
          </w:tcPr>
          <w:p w:rsidR="007B48D5" w:rsidRPr="002D61AD" w:rsidRDefault="007B48D5" w:rsidP="000201C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1AD">
              <w:rPr>
                <w:rFonts w:ascii="Arial" w:hAnsi="Arial" w:cs="Arial"/>
                <w:sz w:val="24"/>
                <w:szCs w:val="24"/>
              </w:rPr>
              <w:t xml:space="preserve">Задачей данной методики является проведение на основе имеющихся специальных научных знаний и данных, накопленных практикой исследования представляемых фактов и предметов. </w:t>
            </w:r>
            <w:r w:rsidR="00C32A93" w:rsidRPr="002D61AD">
              <w:rPr>
                <w:rFonts w:ascii="Arial" w:hAnsi="Arial" w:cs="Arial"/>
                <w:sz w:val="24"/>
                <w:szCs w:val="24"/>
              </w:rPr>
              <w:t>Иными словами,</w:t>
            </w:r>
            <w:r w:rsidRPr="002D61AD">
              <w:rPr>
                <w:rFonts w:ascii="Arial" w:hAnsi="Arial" w:cs="Arial"/>
                <w:sz w:val="24"/>
                <w:szCs w:val="24"/>
              </w:rPr>
              <w:t xml:space="preserve"> задачей судебной пожарно-технической экспертизы в соответствии с содержанием ее предмета является установление комплекса обстоятельств возникновени</w:t>
            </w:r>
            <w:r>
              <w:rPr>
                <w:rFonts w:ascii="Arial" w:hAnsi="Arial" w:cs="Arial"/>
                <w:sz w:val="24"/>
                <w:szCs w:val="24"/>
              </w:rPr>
              <w:t>я и развития пожара</w:t>
            </w:r>
          </w:p>
        </w:tc>
      </w:tr>
      <w:tr w:rsidR="007B48D5" w:rsidRPr="002D61AD" w:rsidTr="00D84347">
        <w:tc>
          <w:tcPr>
            <w:tcW w:w="3408" w:type="dxa"/>
          </w:tcPr>
          <w:p w:rsidR="007B48D5" w:rsidRPr="002D61AD" w:rsidRDefault="007B48D5" w:rsidP="000201C0">
            <w:pPr>
              <w:shd w:val="clear" w:color="auto" w:fill="FFFFFF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>3.2. Объекты исследования</w:t>
            </w:r>
          </w:p>
        </w:tc>
        <w:tc>
          <w:tcPr>
            <w:tcW w:w="6162" w:type="dxa"/>
          </w:tcPr>
          <w:p w:rsidR="007B48D5" w:rsidRPr="002D61AD" w:rsidRDefault="007B48D5" w:rsidP="000201C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1AD">
              <w:rPr>
                <w:rFonts w:ascii="Arial" w:hAnsi="Arial" w:cs="Arial"/>
                <w:sz w:val="24"/>
                <w:szCs w:val="24"/>
              </w:rPr>
              <w:t xml:space="preserve">Объектами экспертного </w:t>
            </w:r>
            <w:r w:rsidR="00C32A93" w:rsidRPr="002D61AD">
              <w:rPr>
                <w:rFonts w:ascii="Arial" w:hAnsi="Arial" w:cs="Arial"/>
                <w:sz w:val="24"/>
                <w:szCs w:val="24"/>
              </w:rPr>
              <w:t xml:space="preserve">исследования </w:t>
            </w:r>
            <w:r w:rsidR="00C32A93" w:rsidRPr="00C32A93">
              <w:rPr>
                <w:rFonts w:ascii="Arial" w:hAnsi="Arial" w:cs="Arial"/>
                <w:sz w:val="24"/>
                <w:szCs w:val="24"/>
              </w:rPr>
              <w:t>могут</w:t>
            </w:r>
            <w:r w:rsidRPr="002D61AD">
              <w:rPr>
                <w:rFonts w:ascii="Arial" w:hAnsi="Arial" w:cs="Arial"/>
                <w:sz w:val="24"/>
                <w:szCs w:val="24"/>
              </w:rPr>
              <w:t xml:space="preserve"> быть обстоятельства и предметы, относящиеся к расследованному событию:</w:t>
            </w:r>
          </w:p>
          <w:p w:rsidR="007B48D5" w:rsidRPr="002D61AD" w:rsidRDefault="007B48D5" w:rsidP="000201C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1AD">
              <w:rPr>
                <w:rFonts w:ascii="Arial" w:hAnsi="Arial" w:cs="Arial"/>
                <w:sz w:val="24"/>
                <w:szCs w:val="24"/>
              </w:rPr>
              <w:t>- обгоревшие и обуглившиеся сгораемые и трудно сгораемые конструктивные элементы зданий и сооружений;</w:t>
            </w:r>
          </w:p>
          <w:p w:rsidR="007B48D5" w:rsidRPr="002D61AD" w:rsidRDefault="007B48D5" w:rsidP="000201C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1AD">
              <w:rPr>
                <w:rFonts w:ascii="Arial" w:hAnsi="Arial" w:cs="Arial"/>
                <w:sz w:val="24"/>
                <w:szCs w:val="24"/>
              </w:rPr>
              <w:t xml:space="preserve">- остатки сгоревших или частично обгоревших предметов; </w:t>
            </w:r>
          </w:p>
          <w:p w:rsidR="007B48D5" w:rsidRPr="002D61AD" w:rsidRDefault="007B48D5" w:rsidP="000201C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1AD">
              <w:rPr>
                <w:rFonts w:ascii="Arial" w:hAnsi="Arial" w:cs="Arial"/>
                <w:sz w:val="24"/>
                <w:szCs w:val="24"/>
              </w:rPr>
              <w:t xml:space="preserve">- электрооборудование и электроприборы; </w:t>
            </w:r>
          </w:p>
          <w:p w:rsidR="007B48D5" w:rsidRPr="002D61AD" w:rsidRDefault="007B48D5" w:rsidP="000201C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1AD">
              <w:rPr>
                <w:rFonts w:ascii="Arial" w:hAnsi="Arial" w:cs="Arial"/>
                <w:sz w:val="24"/>
                <w:szCs w:val="24"/>
              </w:rPr>
              <w:t xml:space="preserve">- различные технические сооружения и технологическое оборудование; </w:t>
            </w:r>
          </w:p>
          <w:p w:rsidR="007B48D5" w:rsidRPr="002D61AD" w:rsidRDefault="007B48D5" w:rsidP="000201C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1AD">
              <w:rPr>
                <w:rFonts w:ascii="Arial" w:hAnsi="Arial" w:cs="Arial"/>
                <w:sz w:val="24"/>
                <w:szCs w:val="24"/>
              </w:rPr>
              <w:t xml:space="preserve">- отопительные и нагревательные приборы; </w:t>
            </w:r>
          </w:p>
          <w:p w:rsidR="007B48D5" w:rsidRPr="002D61AD" w:rsidRDefault="007B48D5" w:rsidP="000201C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1AD">
              <w:rPr>
                <w:rFonts w:ascii="Arial" w:hAnsi="Arial" w:cs="Arial"/>
                <w:sz w:val="24"/>
                <w:szCs w:val="24"/>
              </w:rPr>
              <w:t>- предметы со следами легковоспламеняющихся и горючих жидкостей, вещества и материалы, способные воспламенятся и самовозгораться;</w:t>
            </w:r>
          </w:p>
          <w:p w:rsidR="007B48D5" w:rsidRPr="002D61AD" w:rsidRDefault="007B48D5" w:rsidP="000201C0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1AD">
              <w:rPr>
                <w:rFonts w:ascii="Arial" w:hAnsi="Arial" w:cs="Arial"/>
                <w:sz w:val="24"/>
                <w:szCs w:val="24"/>
              </w:rPr>
              <w:t>- орудия поджога или их остатки и др.</w:t>
            </w:r>
          </w:p>
        </w:tc>
      </w:tr>
      <w:tr w:rsidR="007B48D5" w:rsidRPr="002D61AD" w:rsidTr="00D84347">
        <w:tc>
          <w:tcPr>
            <w:tcW w:w="3408" w:type="dxa"/>
          </w:tcPr>
          <w:p w:rsidR="007B48D5" w:rsidRPr="002D61AD" w:rsidRDefault="007B48D5" w:rsidP="000201C0">
            <w:pPr>
              <w:shd w:val="clear" w:color="auto" w:fill="FFFFFF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>3.3. Методы исследования</w:t>
            </w:r>
          </w:p>
        </w:tc>
        <w:tc>
          <w:tcPr>
            <w:tcW w:w="6162" w:type="dxa"/>
          </w:tcPr>
          <w:p w:rsidR="007B48D5" w:rsidRPr="002D61AD" w:rsidRDefault="007B48D5" w:rsidP="000201C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>1. Визуальный осмотр и исследование место пожара</w:t>
            </w:r>
          </w:p>
          <w:p w:rsidR="007B48D5" w:rsidRPr="002D61AD" w:rsidRDefault="007B48D5" w:rsidP="000201C0">
            <w:pPr>
              <w:shd w:val="clear" w:color="auto" w:fill="FFFFFF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 xml:space="preserve">2. Исследование вещественных доказательств   </w:t>
            </w:r>
          </w:p>
        </w:tc>
      </w:tr>
      <w:tr w:rsidR="007B48D5" w:rsidRPr="002D61AD" w:rsidTr="00D84347">
        <w:tc>
          <w:tcPr>
            <w:tcW w:w="3408" w:type="dxa"/>
          </w:tcPr>
          <w:p w:rsidR="007B48D5" w:rsidRPr="002D61AD" w:rsidRDefault="007B48D5" w:rsidP="000201C0">
            <w:pPr>
              <w:jc w:val="both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>3.4. Краткое поэтапное  описание методики</w:t>
            </w:r>
          </w:p>
        </w:tc>
        <w:tc>
          <w:tcPr>
            <w:tcW w:w="6162" w:type="dxa"/>
          </w:tcPr>
          <w:p w:rsidR="007B48D5" w:rsidRPr="002D61AD" w:rsidRDefault="007B48D5" w:rsidP="000201C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rFonts w:ascii="Arial" w:hAnsi="Arial" w:cs="Arial"/>
                <w:b w:val="0"/>
                <w:iCs/>
                <w:sz w:val="24"/>
              </w:rPr>
            </w:pPr>
            <w:r w:rsidRPr="002D61AD">
              <w:rPr>
                <w:rFonts w:ascii="Arial" w:hAnsi="Arial" w:cs="Arial"/>
                <w:b w:val="0"/>
                <w:iCs/>
                <w:sz w:val="24"/>
              </w:rPr>
              <w:t>Визуальное исследование место происшествия</w:t>
            </w:r>
          </w:p>
          <w:p w:rsidR="007B48D5" w:rsidRPr="002D61AD" w:rsidRDefault="007B48D5" w:rsidP="000201C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rFonts w:ascii="Arial" w:hAnsi="Arial" w:cs="Arial"/>
                <w:b w:val="0"/>
                <w:iCs/>
                <w:sz w:val="24"/>
              </w:rPr>
            </w:pPr>
            <w:r w:rsidRPr="002D61AD">
              <w:rPr>
                <w:rFonts w:ascii="Arial" w:hAnsi="Arial" w:cs="Arial"/>
                <w:b w:val="0"/>
                <w:iCs/>
                <w:sz w:val="24"/>
              </w:rPr>
              <w:t xml:space="preserve">Исследование материалов дела  </w:t>
            </w:r>
          </w:p>
          <w:p w:rsidR="007B48D5" w:rsidRPr="002D61AD" w:rsidRDefault="007B48D5" w:rsidP="000201C0">
            <w:pPr>
              <w:jc w:val="both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  <w:lang w:val="kk-KZ"/>
              </w:rPr>
              <w:t>3</w:t>
            </w:r>
            <w:r w:rsidRPr="002D61AD">
              <w:rPr>
                <w:rFonts w:ascii="Arial" w:hAnsi="Arial" w:cs="Arial"/>
              </w:rPr>
              <w:t xml:space="preserve">. Исследование вещественных доказательств </w:t>
            </w:r>
          </w:p>
          <w:p w:rsidR="007B48D5" w:rsidRPr="002D61AD" w:rsidRDefault="007B48D5" w:rsidP="000201C0">
            <w:pPr>
              <w:jc w:val="both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>4. Формирование выводов</w:t>
            </w:r>
          </w:p>
        </w:tc>
      </w:tr>
      <w:tr w:rsidR="007B48D5" w:rsidRPr="002D61AD" w:rsidTr="00D84347">
        <w:tc>
          <w:tcPr>
            <w:tcW w:w="3408" w:type="dxa"/>
          </w:tcPr>
          <w:p w:rsidR="007B48D5" w:rsidRPr="002D61AD" w:rsidRDefault="007B48D5" w:rsidP="000201C0">
            <w:pPr>
              <w:shd w:val="clear" w:color="auto" w:fill="FFFFFF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 xml:space="preserve">4. Сведения о дате, месте опубликования методики </w:t>
            </w:r>
          </w:p>
          <w:p w:rsidR="007B48D5" w:rsidRPr="002D61AD" w:rsidRDefault="007B48D5" w:rsidP="00020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</w:tcPr>
          <w:p w:rsidR="007B48D5" w:rsidRPr="002D61AD" w:rsidRDefault="007B48D5" w:rsidP="000201C0">
            <w:pPr>
              <w:jc w:val="both"/>
              <w:rPr>
                <w:rFonts w:ascii="Arial" w:hAnsi="Arial" w:cs="Arial"/>
              </w:rPr>
            </w:pPr>
          </w:p>
        </w:tc>
      </w:tr>
      <w:tr w:rsidR="007B48D5" w:rsidRPr="002D61AD" w:rsidTr="00D84347">
        <w:tc>
          <w:tcPr>
            <w:tcW w:w="3408" w:type="dxa"/>
          </w:tcPr>
          <w:p w:rsidR="007B48D5" w:rsidRPr="002D61AD" w:rsidRDefault="007B48D5" w:rsidP="000201C0">
            <w:pPr>
              <w:shd w:val="clear" w:color="auto" w:fill="FFFFFF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  <w:spacing w:val="-1"/>
              </w:rPr>
              <w:t xml:space="preserve">5. Дата одобрения методики Ученым </w:t>
            </w:r>
            <w:r w:rsidRPr="002D61AD">
              <w:rPr>
                <w:rFonts w:ascii="Arial" w:hAnsi="Arial" w:cs="Arial"/>
              </w:rPr>
              <w:t xml:space="preserve">Советом ЦСЭ МЮ </w:t>
            </w:r>
            <w:r w:rsidRPr="002D61AD">
              <w:rPr>
                <w:rFonts w:ascii="Arial" w:hAnsi="Arial" w:cs="Arial"/>
              </w:rPr>
              <w:lastRenderedPageBreak/>
              <w:t>РК</w:t>
            </w:r>
          </w:p>
        </w:tc>
        <w:tc>
          <w:tcPr>
            <w:tcW w:w="6162" w:type="dxa"/>
          </w:tcPr>
          <w:p w:rsidR="007B48D5" w:rsidRPr="002D61AD" w:rsidRDefault="007B48D5" w:rsidP="000201C0">
            <w:pPr>
              <w:pStyle w:val="a4"/>
              <w:tabs>
                <w:tab w:val="left" w:pos="0"/>
              </w:tabs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lastRenderedPageBreak/>
              <w:t>Протокол № 1 от 06.02.2007г.</w:t>
            </w:r>
          </w:p>
        </w:tc>
      </w:tr>
      <w:tr w:rsidR="007B48D5" w:rsidRPr="002D61AD" w:rsidTr="00D84347">
        <w:tc>
          <w:tcPr>
            <w:tcW w:w="3408" w:type="dxa"/>
          </w:tcPr>
          <w:p w:rsidR="007B48D5" w:rsidRPr="002D61AD" w:rsidRDefault="007B48D5" w:rsidP="000201C0">
            <w:pPr>
              <w:tabs>
                <w:tab w:val="left" w:pos="3720"/>
                <w:tab w:val="left" w:pos="5712"/>
              </w:tabs>
              <w:jc w:val="both"/>
              <w:rPr>
                <w:rFonts w:ascii="Arial" w:hAnsi="Arial" w:cs="Arial"/>
                <w:lang w:val="kk-KZ"/>
              </w:rPr>
            </w:pPr>
            <w:r w:rsidRPr="002D61AD">
              <w:rPr>
                <w:rFonts w:ascii="Arial" w:hAnsi="Arial" w:cs="Arial"/>
                <w:lang w:val="kk-KZ"/>
              </w:rPr>
              <w:t xml:space="preserve">6. Дата утверждения методики </w:t>
            </w:r>
            <w:r w:rsidRPr="002D61AD">
              <w:rPr>
                <w:rFonts w:ascii="Arial" w:hAnsi="Arial" w:cs="Arial"/>
              </w:rPr>
              <w:t xml:space="preserve">Комиссией по </w:t>
            </w:r>
            <w:r w:rsidRPr="002D61AD">
              <w:rPr>
                <w:rFonts w:ascii="Arial" w:hAnsi="Arial" w:cs="Arial"/>
                <w:lang w:val="kk-KZ"/>
              </w:rPr>
              <w:t>утверждению</w:t>
            </w:r>
          </w:p>
          <w:p w:rsidR="007B48D5" w:rsidRPr="002D61AD" w:rsidRDefault="007B48D5" w:rsidP="000201C0">
            <w:pPr>
              <w:tabs>
                <w:tab w:val="left" w:pos="3720"/>
                <w:tab w:val="left" w:pos="5712"/>
              </w:tabs>
              <w:jc w:val="both"/>
              <w:rPr>
                <w:rFonts w:ascii="Arial" w:hAnsi="Arial" w:cs="Arial"/>
                <w:lang w:val="kk-KZ"/>
              </w:rPr>
            </w:pPr>
            <w:r w:rsidRPr="002D61AD">
              <w:rPr>
                <w:rFonts w:ascii="Arial" w:hAnsi="Arial" w:cs="Arial"/>
                <w:lang w:val="kk-KZ"/>
              </w:rPr>
              <w:t xml:space="preserve">методик проведения </w:t>
            </w:r>
          </w:p>
          <w:p w:rsidR="007B48D5" w:rsidRPr="002D61AD" w:rsidRDefault="007B48D5" w:rsidP="000201C0">
            <w:pPr>
              <w:tabs>
                <w:tab w:val="left" w:pos="3720"/>
                <w:tab w:val="left" w:pos="5712"/>
              </w:tabs>
              <w:jc w:val="both"/>
              <w:rPr>
                <w:rFonts w:ascii="Arial" w:hAnsi="Arial" w:cs="Arial"/>
                <w:lang w:val="kk-KZ"/>
              </w:rPr>
            </w:pPr>
            <w:r w:rsidRPr="002D61AD">
              <w:rPr>
                <w:rFonts w:ascii="Arial" w:hAnsi="Arial" w:cs="Arial"/>
              </w:rPr>
              <w:t>судебно</w:t>
            </w:r>
            <w:r w:rsidRPr="002D61AD">
              <w:rPr>
                <w:rFonts w:ascii="Arial" w:hAnsi="Arial" w:cs="Arial"/>
                <w:lang w:val="kk-KZ"/>
              </w:rPr>
              <w:t>-</w:t>
            </w:r>
            <w:r w:rsidRPr="002D61AD">
              <w:rPr>
                <w:rFonts w:ascii="Arial" w:hAnsi="Arial" w:cs="Arial"/>
              </w:rPr>
              <w:t>эксперт</w:t>
            </w:r>
            <w:r w:rsidRPr="002D61AD">
              <w:rPr>
                <w:rFonts w:ascii="Arial" w:hAnsi="Arial" w:cs="Arial"/>
                <w:lang w:val="kk-KZ"/>
              </w:rPr>
              <w:t>ных</w:t>
            </w:r>
          </w:p>
          <w:p w:rsidR="007B48D5" w:rsidRPr="002D61AD" w:rsidRDefault="007B48D5" w:rsidP="000201C0">
            <w:pPr>
              <w:shd w:val="clear" w:color="auto" w:fill="FFFFFF"/>
              <w:rPr>
                <w:rFonts w:ascii="Arial" w:hAnsi="Arial" w:cs="Arial"/>
                <w:spacing w:val="-1"/>
              </w:rPr>
            </w:pPr>
            <w:r w:rsidRPr="002D61AD">
              <w:rPr>
                <w:rFonts w:ascii="Arial" w:hAnsi="Arial" w:cs="Arial"/>
                <w:lang w:val="kk-KZ"/>
              </w:rPr>
              <w:t>исследований</w:t>
            </w:r>
          </w:p>
        </w:tc>
        <w:tc>
          <w:tcPr>
            <w:tcW w:w="6162" w:type="dxa"/>
          </w:tcPr>
          <w:p w:rsidR="007B48D5" w:rsidRPr="002D61AD" w:rsidRDefault="007B48D5" w:rsidP="000201C0">
            <w:pPr>
              <w:pStyle w:val="a4"/>
              <w:tabs>
                <w:tab w:val="left" w:pos="0"/>
              </w:tabs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Протокол № 1 от 06.02.2007г.</w:t>
            </w:r>
          </w:p>
        </w:tc>
      </w:tr>
      <w:tr w:rsidR="007B48D5" w:rsidRPr="002D61AD" w:rsidTr="00D84347">
        <w:tc>
          <w:tcPr>
            <w:tcW w:w="3408" w:type="dxa"/>
          </w:tcPr>
          <w:p w:rsidR="007B48D5" w:rsidRPr="002D61AD" w:rsidRDefault="007B48D5" w:rsidP="000201C0">
            <w:pPr>
              <w:shd w:val="clear" w:color="auto" w:fill="FFFFFF"/>
              <w:rPr>
                <w:rFonts w:ascii="Arial" w:hAnsi="Arial" w:cs="Arial"/>
                <w:spacing w:val="-3"/>
              </w:rPr>
            </w:pPr>
            <w:r w:rsidRPr="002D61AD">
              <w:rPr>
                <w:rFonts w:ascii="Arial" w:hAnsi="Arial" w:cs="Arial"/>
                <w:spacing w:val="-1"/>
              </w:rPr>
              <w:t xml:space="preserve">7.Должностное лицо экспертного </w:t>
            </w:r>
            <w:r w:rsidRPr="002D61AD">
              <w:rPr>
                <w:rFonts w:ascii="Arial" w:hAnsi="Arial" w:cs="Arial"/>
                <w:spacing w:val="-3"/>
              </w:rPr>
              <w:t>учреждения, составившее паспорт</w:t>
            </w:r>
          </w:p>
          <w:p w:rsidR="007B48D5" w:rsidRPr="002D61AD" w:rsidRDefault="007B48D5" w:rsidP="000201C0">
            <w:pPr>
              <w:shd w:val="clear" w:color="auto" w:fill="FFFFFF"/>
              <w:rPr>
                <w:rFonts w:ascii="Arial" w:hAnsi="Arial" w:cs="Arial"/>
              </w:rPr>
            </w:pPr>
            <w:r w:rsidRPr="002D61AD">
              <w:rPr>
                <w:rFonts w:ascii="Arial" w:hAnsi="Arial" w:cs="Arial"/>
              </w:rPr>
              <w:t>экспертной методики</w:t>
            </w:r>
          </w:p>
        </w:tc>
        <w:tc>
          <w:tcPr>
            <w:tcW w:w="6162" w:type="dxa"/>
          </w:tcPr>
          <w:p w:rsidR="007B48D5" w:rsidRPr="00564F54" w:rsidRDefault="00C32A93" w:rsidP="00C32A93">
            <w:pPr>
              <w:pStyle w:val="a4"/>
              <w:tabs>
                <w:tab w:val="left" w:pos="0"/>
              </w:tabs>
              <w:jc w:val="both"/>
              <w:rPr>
                <w:rFonts w:ascii="Arial" w:hAnsi="Arial" w:cs="Arial"/>
                <w:b w:val="0"/>
                <w:sz w:val="24"/>
              </w:rPr>
            </w:pPr>
            <w:r w:rsidRPr="002D61AD">
              <w:rPr>
                <w:rFonts w:ascii="Arial" w:hAnsi="Arial" w:cs="Arial"/>
                <w:b w:val="0"/>
                <w:sz w:val="24"/>
              </w:rPr>
              <w:t>Мурадилов А.А.</w:t>
            </w:r>
            <w:r w:rsidRPr="00564F54">
              <w:rPr>
                <w:rFonts w:ascii="Arial" w:hAnsi="Arial" w:cs="Arial"/>
                <w:b w:val="0"/>
                <w:sz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</w:rPr>
              <w:t>в</w:t>
            </w:r>
            <w:r w:rsidR="007B48D5" w:rsidRPr="002D61AD">
              <w:rPr>
                <w:rFonts w:ascii="Arial" w:hAnsi="Arial" w:cs="Arial"/>
                <w:b w:val="0"/>
                <w:sz w:val="24"/>
              </w:rPr>
              <w:t xml:space="preserve">едущий эксперт </w:t>
            </w:r>
            <w:r w:rsidR="007B48D5">
              <w:rPr>
                <w:rFonts w:ascii="Arial" w:hAnsi="Arial" w:cs="Arial"/>
                <w:b w:val="0"/>
                <w:sz w:val="24"/>
              </w:rPr>
              <w:t>л</w:t>
            </w:r>
            <w:r w:rsidR="007B48D5" w:rsidRPr="002D61AD">
              <w:rPr>
                <w:rFonts w:ascii="Arial" w:hAnsi="Arial" w:cs="Arial"/>
                <w:b w:val="0"/>
                <w:sz w:val="24"/>
              </w:rPr>
              <w:t>аборатории специальных исследований Института судебной экспертизы по г. Алматы</w:t>
            </w:r>
            <w:r>
              <w:rPr>
                <w:rFonts w:ascii="Arial" w:hAnsi="Arial" w:cs="Arial"/>
                <w:b w:val="0"/>
                <w:sz w:val="24"/>
              </w:rPr>
              <w:t xml:space="preserve">ЦСЭ МЮ РК </w:t>
            </w:r>
            <w:bookmarkStart w:id="0" w:name="_GoBack"/>
            <w:bookmarkEnd w:id="0"/>
            <w:r w:rsidR="007B48D5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7B48D5" w:rsidRPr="00564F54">
              <w:rPr>
                <w:rFonts w:ascii="Arial" w:hAnsi="Arial" w:cs="Arial"/>
                <w:b w:val="0"/>
                <w:color w:val="000000"/>
                <w:spacing w:val="1"/>
                <w:sz w:val="24"/>
              </w:rPr>
              <w:t>(2012г.)</w:t>
            </w:r>
          </w:p>
        </w:tc>
      </w:tr>
    </w:tbl>
    <w:p w:rsidR="007B48D5" w:rsidRPr="002D61AD" w:rsidRDefault="007B48D5" w:rsidP="000201C0">
      <w:pPr>
        <w:pStyle w:val="a3"/>
        <w:jc w:val="both"/>
        <w:rPr>
          <w:rFonts w:ascii="Arial" w:hAnsi="Arial" w:cs="Arial"/>
          <w:color w:val="FF0000"/>
          <w:spacing w:val="-7"/>
          <w:sz w:val="24"/>
          <w:szCs w:val="24"/>
        </w:rPr>
      </w:pPr>
    </w:p>
    <w:p w:rsidR="007B48D5" w:rsidRPr="002D61AD" w:rsidRDefault="007B48D5" w:rsidP="000201C0">
      <w:pPr>
        <w:jc w:val="center"/>
        <w:rPr>
          <w:rFonts w:ascii="Arial" w:hAnsi="Arial" w:cs="Arial"/>
          <w:b/>
          <w:lang w:val="kk-KZ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 w:rsidP="00233E13">
      <w:pPr>
        <w:shd w:val="clear" w:color="auto" w:fill="FFFFFF"/>
        <w:spacing w:line="317" w:lineRule="exact"/>
        <w:ind w:left="11" w:hanging="11"/>
        <w:jc w:val="center"/>
        <w:rPr>
          <w:rFonts w:ascii="Arial" w:hAnsi="Arial" w:cs="Arial"/>
          <w:b/>
          <w:color w:val="000000"/>
          <w:spacing w:val="1"/>
        </w:rPr>
      </w:pPr>
    </w:p>
    <w:p w:rsidR="007B48D5" w:rsidRPr="002D61AD" w:rsidRDefault="007B48D5">
      <w:pPr>
        <w:rPr>
          <w:rFonts w:ascii="Arial" w:hAnsi="Arial" w:cs="Arial"/>
        </w:rPr>
      </w:pPr>
    </w:p>
    <w:sectPr w:rsidR="007B48D5" w:rsidRPr="002D61AD" w:rsidSect="00B00926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DA" w:rsidRDefault="007E48DA" w:rsidP="00B00926">
      <w:r>
        <w:separator/>
      </w:r>
    </w:p>
  </w:endnote>
  <w:endnote w:type="continuationSeparator" w:id="0">
    <w:p w:rsidR="007E48DA" w:rsidRDefault="007E48DA" w:rsidP="00B0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DA" w:rsidRDefault="007E48DA" w:rsidP="00B00926">
      <w:r>
        <w:separator/>
      </w:r>
    </w:p>
  </w:footnote>
  <w:footnote w:type="continuationSeparator" w:id="0">
    <w:p w:rsidR="007E48DA" w:rsidRDefault="007E48DA" w:rsidP="00B0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D5" w:rsidRDefault="007E48DA">
    <w:pPr>
      <w:pStyle w:val="a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32A93">
      <w:rPr>
        <w:noProof/>
      </w:rPr>
      <w:t>2</w:t>
    </w:r>
    <w:r>
      <w:rPr>
        <w:noProof/>
      </w:rPr>
      <w:fldChar w:fldCharType="end"/>
    </w:r>
  </w:p>
  <w:p w:rsidR="007B48D5" w:rsidRDefault="007B48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5FFD"/>
    <w:multiLevelType w:val="hybridMultilevel"/>
    <w:tmpl w:val="57D28E3C"/>
    <w:lvl w:ilvl="0" w:tplc="C0D8B7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508E0CD7"/>
    <w:multiLevelType w:val="hybridMultilevel"/>
    <w:tmpl w:val="49C8EE42"/>
    <w:lvl w:ilvl="0" w:tplc="3B406B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7B6"/>
    <w:rsid w:val="000201C0"/>
    <w:rsid w:val="00125EC0"/>
    <w:rsid w:val="00233E13"/>
    <w:rsid w:val="002515B3"/>
    <w:rsid w:val="0026306B"/>
    <w:rsid w:val="00296493"/>
    <w:rsid w:val="002D61AD"/>
    <w:rsid w:val="004A064C"/>
    <w:rsid w:val="00564F54"/>
    <w:rsid w:val="005971F8"/>
    <w:rsid w:val="006D67B6"/>
    <w:rsid w:val="006F4EEB"/>
    <w:rsid w:val="007B48D5"/>
    <w:rsid w:val="007E48DA"/>
    <w:rsid w:val="00A0705A"/>
    <w:rsid w:val="00AD7132"/>
    <w:rsid w:val="00B00926"/>
    <w:rsid w:val="00B16DAA"/>
    <w:rsid w:val="00C32A93"/>
    <w:rsid w:val="00D84347"/>
    <w:rsid w:val="00DC4BDA"/>
    <w:rsid w:val="00F82633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DC76EC-BCCB-40D3-8249-61D34272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64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649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296493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a4">
    <w:name w:val="Body Text"/>
    <w:basedOn w:val="a"/>
    <w:link w:val="a5"/>
    <w:uiPriority w:val="99"/>
    <w:rsid w:val="00233E13"/>
    <w:rPr>
      <w:b/>
      <w:bCs/>
      <w:sz w:val="28"/>
    </w:rPr>
  </w:style>
  <w:style w:type="character" w:customStyle="1" w:styleId="a5">
    <w:name w:val="Основной текст Знак"/>
    <w:link w:val="a4"/>
    <w:uiPriority w:val="99"/>
    <w:locked/>
    <w:rsid w:val="00233E1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2630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6306B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125EC0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125EC0"/>
    <w:rPr>
      <w:rFonts w:ascii="Courier New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B009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0092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009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B0092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User</cp:lastModifiedBy>
  <cp:revision>7</cp:revision>
  <cp:lastPrinted>2012-07-31T09:31:00Z</cp:lastPrinted>
  <dcterms:created xsi:type="dcterms:W3CDTF">2012-11-10T15:44:00Z</dcterms:created>
  <dcterms:modified xsi:type="dcterms:W3CDTF">2020-11-04T12:04:00Z</dcterms:modified>
</cp:coreProperties>
</file>