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1" w:rsidRDefault="00DB2101" w:rsidP="00DB2101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p w:rsidR="00DB2101" w:rsidRDefault="00DB2101" w:rsidP="00DB2101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методики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судебно-экспертного исследования экологического состояния поверхностных вод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Шифр методики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Информация об авторах методики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Булавина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Д.Ш. 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Сущность методики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признаков негативного антропогенного воздействия на поверхностные воды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решаемые методикой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наличия признаков антропогенного воздействия на поверхностные воды;</w:t>
            </w:r>
          </w:p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вида негативного антропогенного воздействия;</w:t>
            </w:r>
          </w:p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источника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негативного антропогенного воздействия и его (их) характеристик;</w:t>
            </w:r>
          </w:p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механизма антропогенного воздействия;</w:t>
            </w:r>
          </w:p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масштаба, обратимости (необратимости) и иных последствий негативного антропогенного воздействия;</w:t>
            </w:r>
          </w:p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условий и обстоятельств, способствующих усилению ли ослаблению антропогенного воздействия;</w:t>
            </w:r>
          </w:p>
          <w:p w:rsidR="00DB2101" w:rsidRDefault="00DB2101">
            <w:pPr>
              <w:spacing w:after="0" w:line="240" w:lineRule="auto"/>
              <w:ind w:left="-108"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возможности восстановления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исходного  состояния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поверхностных вод и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конкретных мероприятий по восстановлению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антропогенно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нарушенного водного объекта.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 Объекты исследования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sz w:val="28"/>
                <w:szCs w:val="28"/>
                <w:lang w:eastAsia="en-US"/>
              </w:rPr>
            </w:pPr>
            <w:r>
              <w:rPr>
                <w:rStyle w:val="FontStyle29"/>
                <w:sz w:val="28"/>
                <w:szCs w:val="28"/>
                <w:lang w:eastAsia="en-US"/>
              </w:rPr>
              <w:t>- материалы дела;</w:t>
            </w:r>
          </w:p>
          <w:p w:rsidR="00DB2101" w:rsidRDefault="00DB2101">
            <w:pPr>
              <w:pStyle w:val="Style2"/>
              <w:widowControl/>
              <w:spacing w:line="240" w:lineRule="auto"/>
              <w:ind w:firstLine="0"/>
            </w:pPr>
            <w:r>
              <w:rPr>
                <w:rStyle w:val="FontStyle29"/>
                <w:sz w:val="28"/>
                <w:szCs w:val="28"/>
                <w:lang w:eastAsia="en-US"/>
              </w:rPr>
              <w:t xml:space="preserve">- поверхностные водные объекты: </w:t>
            </w:r>
            <w:r>
              <w:rPr>
                <w:sz w:val="28"/>
                <w:szCs w:val="28"/>
                <w:lang w:eastAsia="en-US"/>
              </w:rPr>
              <w:t>реки и приравненные к ним каналы, озера, водохранилища, пруды и другие внутренние водоемы, территориальные воды, ледники, болота;</w:t>
            </w:r>
          </w:p>
          <w:p w:rsidR="00DB2101" w:rsidRDefault="00DB210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- образцы воды, почвы береговой линии, донных отложений, растений,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перифитона,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макрозообентоса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>, отобранные в процессе осмотра конкретного водного объекта;</w:t>
            </w:r>
          </w:p>
          <w:p w:rsidR="00DB2101" w:rsidRDefault="00DB2101">
            <w:pPr>
              <w:pStyle w:val="101"/>
              <w:ind w:right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контрольные образцы воды,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почвы береговой линии, донных отложений,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растений, </w:t>
            </w:r>
            <w:r>
              <w:rPr>
                <w:bCs/>
                <w:sz w:val="28"/>
                <w:szCs w:val="28"/>
              </w:rPr>
              <w:t>перифитона,</w:t>
            </w:r>
            <w:r>
              <w:rPr>
                <w:b/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макрозообентоса, отобранные в процессе осмотра конкретного водного </w:t>
            </w:r>
            <w:r>
              <w:rPr>
                <w:sz w:val="28"/>
                <w:szCs w:val="28"/>
              </w:rPr>
              <w:lastRenderedPageBreak/>
              <w:t>объекта с его участков, на которые не оказано негативное антропогенное воздействие</w:t>
            </w:r>
            <w:r>
              <w:rPr>
                <w:rStyle w:val="6"/>
                <w:sz w:val="28"/>
                <w:szCs w:val="28"/>
              </w:rPr>
              <w:t xml:space="preserve"> и не имеющих признаков нарушения</w:t>
            </w:r>
            <w:r>
              <w:rPr>
                <w:b/>
                <w:sz w:val="28"/>
                <w:szCs w:val="28"/>
              </w:rPr>
              <w:t>;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данные дистанционного зондирования (ДЗЗ).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 Методы исследования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pStyle w:val="101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Методы фотофиксации при осмотре конкретного участка водного объекта, представленных на исследование проб; исследовательская макросъемка и микросъемка. </w:t>
            </w:r>
          </w:p>
          <w:p w:rsidR="00DB2101" w:rsidRDefault="00DB2101">
            <w:pPr>
              <w:pStyle w:val="101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 отбора образцов воды, почвы, донных отложений,</w:t>
            </w:r>
            <w:r>
              <w:rPr>
                <w:bCs/>
                <w:sz w:val="28"/>
                <w:szCs w:val="28"/>
              </w:rPr>
              <w:t xml:space="preserve"> перифитона,</w:t>
            </w:r>
            <w:r>
              <w:rPr>
                <w:b/>
                <w:bCs/>
              </w:rPr>
              <w:t xml:space="preserve">  </w:t>
            </w:r>
            <w:r>
              <w:rPr>
                <w:sz w:val="28"/>
                <w:szCs w:val="28"/>
              </w:rPr>
              <w:t>макрозообентоса, растений.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Методы лабораторного анализа: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визуальный метод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органолептический анализ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микроскопический метод </w:t>
            </w:r>
          </w:p>
          <w:p w:rsidR="00DB2101" w:rsidRDefault="00DB2101">
            <w:pPr>
              <w:pStyle w:val="101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 рентгено-флуоресцентного элементного анализа 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 эмиссионно-спектрального элементного анализа </w:t>
            </w:r>
          </w:p>
          <w:p w:rsidR="00DB2101" w:rsidRDefault="00DB2101">
            <w:pPr>
              <w:pStyle w:val="101"/>
              <w:tabs>
                <w:tab w:val="left" w:pos="709"/>
              </w:tabs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 ИК-спектрометрии 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етод газовой хроматографии с масс-селективным детектированием (ГХ МС) 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 газовой хроматографии с масс-селективным детектированием (ГХ МС) в сочетании с твердофазной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микроэкстракцией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(ТФМЭ)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 биотестирования с определением острой токсичности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установления гидробиологических показателей водного объекта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 анализа данных дистанционного зондирования земли (ДЗЗ)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Краткое поэтапное описание методики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 w:rsidP="002167BB">
            <w:pPr>
              <w:pStyle w:val="Style2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и анализ материалов дела и нормативно-правовых актов.</w:t>
            </w:r>
          </w:p>
          <w:p w:rsidR="00DB2101" w:rsidRDefault="00DB2101" w:rsidP="002167BB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водного объекта на основе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нализа данных дистанционного зондирования Земли (ДДЗЗ). </w:t>
            </w:r>
          </w:p>
          <w:p w:rsidR="00DB2101" w:rsidRDefault="00DB2101" w:rsidP="002167BB">
            <w:pPr>
              <w:pStyle w:val="Style2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Экспертный осмотр места происшествия. Отбор проб поверхностной воды, донных отложений, почвенных и растительных объектов,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макрозообентоса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sz w:val="28"/>
                <w:szCs w:val="28"/>
                <w:lang w:eastAsia="en-US"/>
              </w:rPr>
              <w:t>перифитона,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а также контрольных образцов.</w:t>
            </w:r>
          </w:p>
          <w:p w:rsidR="00DB2101" w:rsidRDefault="00DB2101" w:rsidP="002167BB">
            <w:pPr>
              <w:pStyle w:val="Style2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Экспертный осмотр отобранных или представленных проб и контрольных образцов, а также химических веществ,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отходов (или строительства, или производства, или потребления), определение их физических свойств. </w:t>
            </w:r>
          </w:p>
          <w:p w:rsidR="00DB2101" w:rsidRDefault="00DB2101" w:rsidP="002167BB">
            <w:pPr>
              <w:pStyle w:val="Style2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проб к анализу. </w:t>
            </w:r>
          </w:p>
          <w:p w:rsidR="00DB2101" w:rsidRDefault="00DB2101" w:rsidP="002167BB">
            <w:pPr>
              <w:pStyle w:val="101"/>
              <w:numPr>
                <w:ilvl w:val="0"/>
                <w:numId w:val="1"/>
              </w:numPr>
              <w:tabs>
                <w:tab w:val="left" w:pos="709"/>
              </w:tabs>
              <w:ind w:left="68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Методные исследования отобранных проб с целью установления наличия загрязнений антропогенного характера: </w:t>
            </w:r>
          </w:p>
          <w:p w:rsidR="00DB2101" w:rsidRDefault="00DB2101">
            <w:pPr>
              <w:pStyle w:val="101"/>
              <w:tabs>
                <w:tab w:val="left" w:pos="709"/>
              </w:tabs>
              <w:ind w:right="2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элементный анализ; </w:t>
            </w:r>
          </w:p>
          <w:p w:rsidR="00DB2101" w:rsidRDefault="00DB2101">
            <w:pPr>
              <w:pStyle w:val="101"/>
              <w:tabs>
                <w:tab w:val="left" w:pos="709"/>
              </w:tabs>
              <w:ind w:right="2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 мо</w:t>
            </w:r>
            <w:r>
              <w:rPr>
                <w:sz w:val="28"/>
                <w:szCs w:val="28"/>
              </w:rPr>
              <w:t>лекулярный спектральный анализ солевых вытяжек;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хромато-масс-спектрометрическое исследование органических экстрактов объектов и в сочетании с твердофазной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микроэкстракцией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(ТФМЭ)</w:t>
            </w:r>
          </w:p>
          <w:p w:rsidR="00DB2101" w:rsidRDefault="00DB2101">
            <w:pPr>
              <w:pStyle w:val="101"/>
              <w:tabs>
                <w:tab w:val="left" w:pos="709"/>
              </w:tabs>
              <w:ind w:right="2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>
              <w:rPr>
                <w:bCs/>
                <w:sz w:val="28"/>
                <w:szCs w:val="28"/>
                <w:shd w:val="clear" w:color="auto" w:fill="FFFFFF"/>
              </w:rPr>
              <w:t>асчет вариационно-статистических показателей количественных результатов измерений;</w:t>
            </w:r>
          </w:p>
          <w:p w:rsidR="00DB2101" w:rsidRDefault="00DB21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проб воды методом биотестирования с определением острой токсичности;</w:t>
            </w:r>
          </w:p>
          <w:p w:rsidR="00DB2101" w:rsidRDefault="00DB2101">
            <w:pPr>
              <w:pStyle w:val="a5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гидробиологических показателей водного объекта.</w:t>
            </w:r>
          </w:p>
          <w:p w:rsidR="00DB2101" w:rsidRDefault="00DB2101">
            <w:pPr>
              <w:pStyle w:val="a5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растительных объектов.</w:t>
            </w:r>
          </w:p>
          <w:p w:rsidR="00DB2101" w:rsidRDefault="00DB2101" w:rsidP="002167BB">
            <w:pPr>
              <w:pStyle w:val="Style2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Оценка результатов исследования и формулирование выводов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. 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Сведения о дате рассмотрения и одобрения методики на совместном заседании Научно-методического и Ученого советов Центра судебных экспертиз МЮ РК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 w:rsidP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«6» 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DB2101" w:rsidTr="00DB2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6.Информация о составителях паспорта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Булавина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</w:t>
            </w:r>
          </w:p>
          <w:p w:rsidR="00DB2101" w:rsidRDefault="00DB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Д.Ш.</w:t>
            </w:r>
          </w:p>
        </w:tc>
      </w:tr>
    </w:tbl>
    <w:p w:rsidR="00DB2101" w:rsidRDefault="00DB2101" w:rsidP="00DB2101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DB2101" w:rsidRDefault="00DB2101" w:rsidP="00DB2101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DB2101" w:rsidRDefault="00DB2101" w:rsidP="00DB2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101" w:rsidRDefault="00DB2101" w:rsidP="00DB2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101" w:rsidRDefault="00DB2101" w:rsidP="00DB2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101" w:rsidRDefault="00DB2101" w:rsidP="00DB2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1DD" w:rsidRDefault="00C461DD"/>
    <w:sectPr w:rsidR="00C4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0630A"/>
    <w:multiLevelType w:val="hybridMultilevel"/>
    <w:tmpl w:val="88769EFC"/>
    <w:lvl w:ilvl="0" w:tplc="2B3AC3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C"/>
    <w:rsid w:val="00543FCC"/>
    <w:rsid w:val="00C461DD"/>
    <w:rsid w:val="00D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D374-CE6E-4192-8843-A13EDE3A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B2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Без интервала Знак"/>
    <w:link w:val="a4"/>
    <w:locked/>
    <w:rsid w:val="00DB2101"/>
  </w:style>
  <w:style w:type="paragraph" w:styleId="a4">
    <w:name w:val="No Spacing"/>
    <w:link w:val="a3"/>
    <w:qFormat/>
    <w:rsid w:val="00DB21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101"/>
    <w:pPr>
      <w:ind w:left="720"/>
      <w:contextualSpacing/>
    </w:pPr>
  </w:style>
  <w:style w:type="paragraph" w:customStyle="1" w:styleId="Style2">
    <w:name w:val="Style2"/>
    <w:basedOn w:val="a"/>
    <w:uiPriority w:val="99"/>
    <w:rsid w:val="00DB2101"/>
    <w:pPr>
      <w:widowControl w:val="0"/>
      <w:autoSpaceDE w:val="0"/>
      <w:autoSpaceDN w:val="0"/>
      <w:adjustRightInd w:val="0"/>
      <w:spacing w:after="0" w:line="26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B2101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DB210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B210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FontStyle29">
    <w:name w:val="Font Style29"/>
    <w:uiPriority w:val="99"/>
    <w:rsid w:val="00DB2101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Полужирный"/>
    <w:uiPriority w:val="99"/>
    <w:rsid w:val="00DB2101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table" w:styleId="a6">
    <w:name w:val="Table Grid"/>
    <w:basedOn w:val="a1"/>
    <w:uiPriority w:val="39"/>
    <w:rsid w:val="00DB2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2020-11-06T06:49:00Z</dcterms:created>
  <dcterms:modified xsi:type="dcterms:W3CDTF">2020-11-06T06:50:00Z</dcterms:modified>
</cp:coreProperties>
</file>