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ЮСТИЦИИ РЕСПУБЛИКИ КАЗАХСТАН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РГКП «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СУДЕБНЫХ ЭКСПРЕТИЗ</w:t>
      </w:r>
      <w:r>
        <w:rPr>
          <w:rFonts w:ascii="Times New Roman" w:hAnsi="Times New Roman" w:cs="Times New Roman"/>
          <w:sz w:val="28"/>
          <w:szCs w:val="28"/>
        </w:rPr>
        <w:t xml:space="preserve"> МЮ РК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судебно-экспертного гистологического исследования с применением импрегнации срезов серебром (модифицированная методика)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031003.65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03.00.25 судебная гистология)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>, 2018 г.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методики судебно-экспертных исследований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40"/>
        <w:gridCol w:w="5105"/>
      </w:tblGrid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методики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6C1138" w:rsidRDefault="006C1138" w:rsidP="0099412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судебно-экспертного гистологического исследования с применением импрегнации срезов серебром (модифицированная методика)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Шифр специальности методики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031003.65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03.00.25 судебная гистология)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о разработчике методики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 судебный эксперт 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8-705 830-46-08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Сущность методики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Импрегнация ретикулиновых и нервных волокон солями серебра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Экспертные задачи, решаемые методикой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диффузных аксональных повреждений на более раннем этапе их развития</w:t>
            </w:r>
          </w:p>
          <w:p w:rsidR="006C1138" w:rsidRDefault="006C1138" w:rsidP="0099412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гистоморфологических признаков дегенеративных заболеваний нервной системы (тяжёлая энцефалопатия,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системы, губчатый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энцефаломиелит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6C1138" w:rsidRDefault="006C1138" w:rsidP="0099412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ретикулинового каркаса стромы доброкачественных и пограничных опухолей позволяет судить о степени их потенциальной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злокачественностии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дифференциальную диагностику между доброкачественными и злокачественными опухолями.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Объекты исследования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38" w:rsidRDefault="006C1138" w:rsidP="0099412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реактивы</w:t>
            </w:r>
          </w:p>
          <w:p w:rsidR="006C1138" w:rsidRDefault="006C1138" w:rsidP="0099412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Гистологические срезы внутренних органов</w:t>
            </w:r>
          </w:p>
          <w:p w:rsidR="006C1138" w:rsidRDefault="006C1138" w:rsidP="0099412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посуда</w:t>
            </w:r>
          </w:p>
          <w:p w:rsidR="006C1138" w:rsidRDefault="006C1138" w:rsidP="0099412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Методы исследования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pStyle w:val="a3"/>
              <w:spacing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и вырезка гистологического материала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гистологического материала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Проводка гистологического материала в спиртах 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в парафин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парафинового блока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гистологических срезов путём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помещением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предметное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Импрегнация срезов серебром</w:t>
            </w:r>
          </w:p>
          <w:p w:rsidR="006C1138" w:rsidRDefault="006C1138" w:rsidP="0099412A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эозином\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4.4.Краткое поэтапное описание методики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Окисление среза: 0.25% водный перманганат калия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Обесцвечивающий раствор: 1% щавелевая кислота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Протрава: 5% железоаммонийные квасцы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Аммиачное серебро: готовить непосредственно перед использованием.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 10% водного нитрата серебра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 10% водного гидроксида натрия (или калия)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мл концентрированного аммиака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перемешать. Большая часть осадка растворится через 1-2 минуты.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мл дистиллированной воды.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проявитель: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мл концентрированного формальдегида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мл дистиллированной воды.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перед использованием.</w:t>
            </w: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Востанавливающий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5% водный тиосульфат натрия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Сведенья о дате рассмотрения и одобрения на совместном заседании Научно-методического и Учебного советов Центра судебных экспертиз МЮ РК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38" w:rsidRP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8">
              <w:rPr>
                <w:rFonts w:ascii="Times New Roman" w:hAnsi="Times New Roman" w:cs="Times New Roman"/>
                <w:sz w:val="24"/>
                <w:szCs w:val="24"/>
              </w:rPr>
              <w:t>Протокол №2 от 20 сентября 2018г</w:t>
            </w:r>
          </w:p>
        </w:tc>
      </w:tr>
      <w:tr w:rsidR="006C1138" w:rsidTr="006C1138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138" w:rsidRDefault="006C1138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Информация о составителях паспорта методики</w:t>
            </w:r>
          </w:p>
        </w:tc>
        <w:tc>
          <w:tcPr>
            <w:tcW w:w="5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138" w:rsidRPr="00DF3FCF" w:rsidRDefault="00DF3FCF" w:rsidP="009941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FCF">
              <w:rPr>
                <w:rFonts w:ascii="Times New Roman" w:hAnsi="Times New Roman" w:cs="Times New Roman"/>
                <w:sz w:val="24"/>
                <w:szCs w:val="24"/>
              </w:rPr>
              <w:t>Сохарев</w:t>
            </w:r>
            <w:proofErr w:type="spellEnd"/>
            <w:r w:rsidRPr="00DF3FC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 судебный эксперт</w:t>
            </w:r>
          </w:p>
        </w:tc>
      </w:tr>
    </w:tbl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 ВВЕДЕНИЕ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Судебно-медицинская гистологическая экспертиза является важным разделом судебно-медицинской экспертизы, которая в свою очередь является одним из базовых разделов медицинской деятельности. В современных условиях любая медицинская деятельности как на территории Республики Казахстан, так в большей части стран мира, осуществляется на принципах </w:t>
      </w:r>
      <w:r>
        <w:rPr>
          <w:rFonts w:ascii="Times New Roman" w:hAnsi="Times New Roman" w:cs="Times New Roman"/>
          <w:b/>
          <w:i/>
          <w:sz w:val="28"/>
          <w:szCs w:val="28"/>
        </w:rPr>
        <w:t>доказательной медицины</w:t>
      </w:r>
      <w:r w:rsidR="009941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EvidenceBasedMedicineWorkingGroup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1993). В основе функционирования современной медицинской науки и деятельности лежат базовые принципы: методологический подход, контролируемость,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рандомизированность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и высокая репрезентативность результатов. 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вышеизложенного, расширение спектра </w:t>
      </w:r>
      <w:r w:rsidR="0099412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применяемых в экспертной деятельности, позволяет повысить уровень доказательности результатов и тем самым повысить ценность проводимого исследования, что играет важнейшую роль не только в медицинской, но и в юридической практике.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методик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 импрегнации серебром</w:t>
      </w:r>
      <w:r>
        <w:rPr>
          <w:rFonts w:ascii="Times New Roman" w:hAnsi="Times New Roman" w:cs="Times New Roman"/>
          <w:sz w:val="28"/>
          <w:szCs w:val="28"/>
        </w:rPr>
        <w:t>, ретикулиновых волокон, нервной ткани, а также патологический грибковой флоры, при глубоких(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микозах.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Принципокраски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C1138" w:rsidRDefault="006C1138" w:rsidP="00994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аргирофильная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неспецифическая реакция тонких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стетеподобных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поддерживающих волокон соединительной ткани (например, имеются в печени и костном мозге). Ретикулярные волокна – это молодые и тонкие отростки коллагеновых волокон, которые содержат в себе углеводные группы и способны связывать серебро, окисляясь до альдегидов. Но так как в них содержится очень мало углеводородов, необходима сенсибилизация (железоаммонийными квасцами).</w:t>
      </w:r>
    </w:p>
    <w:p w:rsidR="006C1138" w:rsidRDefault="006C1138" w:rsidP="00994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Импрегнация гистологических элементов серебром является одним из наиболее трудных и капризных гистологических методов, предъявляющих высокие требование ни только к качеству препаратов, но и к степени освещённости в лаборатории и уровню частоты лабораторной посуды, что не позволяет ввести данную методику в разряд рутинных в большинстве гистологических лабораторий. Поэтому поиск путей облегчения и, что не маловажно, удешевления данного вида исследований позволит повысить наглядность в гистологической практике судебного эксперта, а, следовательно, придать больший вес его экспертизе. 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ИСПОЛЬЗОВАНИЕ: Определить наличие и характеристики тонких соединительнотканных волокон (поврежденных при многих патологических состояниях).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ОСНОВНАЯ ЧАСТЬ</w:t>
      </w: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А) Спектр применения методики в судебной экспертизе: </w:t>
      </w:r>
    </w:p>
    <w:p w:rsidR="006C1138" w:rsidRDefault="006C1138" w:rsidP="00994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1.Визуализация диффузных аксональных повреждений на более раннем этапе их развития</w:t>
      </w:r>
    </w:p>
    <w:p w:rsidR="006C1138" w:rsidRDefault="006C1138" w:rsidP="00994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Выявление гистоморфологических признаков дегенеративных заболеваний нервной системы (тяжёлая энцефалопатия,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демиелинизирующие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 нервной системы, губчатый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C1138" w:rsidRDefault="006C1138" w:rsidP="00994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настоящее время данная методика является обязательным для оценки уровня фиброза ткани печени при циррозе, а также для установления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миелофиброза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красном костном мозге при </w:t>
      </w:r>
      <w:r>
        <w:rPr>
          <w:rFonts w:ascii="Times New Roman" w:hAnsi="Times New Roman" w:cs="Times New Roman"/>
          <w:sz w:val="28"/>
          <w:szCs w:val="28"/>
          <w:lang w:val="en-US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2 +-заболеваниях костного мозга.  </w:t>
      </w:r>
    </w:p>
    <w:p w:rsidR="006C1138" w:rsidRDefault="006C1138" w:rsidP="00994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4.Изучения ретикулинового каркаса стромы доброкачественных и пограничных опухолей позволяет судить о степени их потенциальной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злокачественностии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 дифференциальную диагностику между доброкачественными и злокачественными опухолями.</w:t>
      </w:r>
    </w:p>
    <w:p w:rsidR="006C1138" w:rsidRDefault="006C1138" w:rsidP="009941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Выявление грибковой флоры в поражённых органах.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Б) Целью нашего исследования явилось:</w:t>
      </w:r>
    </w:p>
    <w:p w:rsidR="006C1138" w:rsidRDefault="006C1138" w:rsidP="009941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методики импрегнации серебром, </w:t>
      </w:r>
    </w:p>
    <w:p w:rsidR="006C1138" w:rsidRDefault="006C1138" w:rsidP="009941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поиски унификации и, при возможности, удешевления методики серебрения гистологических препаратов.</w:t>
      </w:r>
    </w:p>
    <w:p w:rsidR="006C1138" w:rsidRDefault="006C1138" w:rsidP="009941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усовершенствованной методики </w:t>
      </w: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В)Материалы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1138" w:rsidRDefault="006C1138" w:rsidP="009941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Химические реактивы</w:t>
      </w:r>
    </w:p>
    <w:p w:rsidR="006C1138" w:rsidRDefault="006C1138" w:rsidP="009941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Гистологические срезы внутренних органов</w:t>
      </w:r>
    </w:p>
    <w:p w:rsidR="006C1138" w:rsidRDefault="006C1138" w:rsidP="009941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Лабораторная посуда</w:t>
      </w:r>
    </w:p>
    <w:p w:rsidR="006C1138" w:rsidRDefault="006C1138" w:rsidP="009941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Г)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Забор и вырезка гистологического материала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2.Фиксация гистологического материала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3.Проводка гистологического материала в спиртах 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4.Заливка в парафин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Изготовление парафинового блока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6.Изготовление гистологических срезов путём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помещением их </w:t>
      </w:r>
      <w:r w:rsidR="0099412A">
        <w:rPr>
          <w:rFonts w:ascii="Times New Roman" w:hAnsi="Times New Roman" w:cs="Times New Roman"/>
          <w:sz w:val="28"/>
          <w:szCs w:val="28"/>
        </w:rPr>
        <w:t>на предметное</w:t>
      </w:r>
      <w:r>
        <w:rPr>
          <w:rFonts w:ascii="Times New Roman" w:hAnsi="Times New Roman" w:cs="Times New Roman"/>
          <w:sz w:val="28"/>
          <w:szCs w:val="28"/>
        </w:rPr>
        <w:t xml:space="preserve"> стекло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7.Импрегнация срезов серебром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8.окраска эозином</w:t>
      </w: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процессе исследования производились различные количественные и качественные исследования, как самой методики, так и получаемых результатов:</w:t>
      </w:r>
    </w:p>
    <w:p w:rsidR="006C1138" w:rsidRDefault="006C1138" w:rsidP="00994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времени импрегнации</w:t>
      </w:r>
    </w:p>
    <w:p w:rsidR="006C1138" w:rsidRDefault="006C1138" w:rsidP="00994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и качества импрегнации</w:t>
      </w:r>
    </w:p>
    <w:p w:rsidR="006C1138" w:rsidRDefault="006C1138" w:rsidP="00994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химических реактивов</w:t>
      </w:r>
    </w:p>
    <w:p w:rsidR="006C1138" w:rsidRDefault="006C1138" w:rsidP="009941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Воспроизводилось этапов методики в зависимости от различных факторов внешней среды и субъективных условий</w:t>
      </w:r>
    </w:p>
    <w:p w:rsidR="006C1138" w:rsidRDefault="006C1138" w:rsidP="0099412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проводимого исследования нами были воспроизведены как «классическая» методика серебрения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Гоморри,та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 модифицированная нами методика серебрения.</w:t>
      </w:r>
    </w:p>
    <w:p w:rsidR="006C1138" w:rsidRDefault="006C1138" w:rsidP="0099412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внедрения нами были использованы </w:t>
      </w:r>
      <w:r>
        <w:rPr>
          <w:rFonts w:ascii="Times New Roman" w:hAnsi="Times New Roman" w:cs="Times New Roman"/>
          <w:b/>
          <w:sz w:val="28"/>
          <w:szCs w:val="28"/>
        </w:rPr>
        <w:t>следующие реактивы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Перманганат калия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(водный раствор) 0,25% 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 0,5%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Щавелевая кислота (водный раствор) 0,5%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или 1%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Хлорид железа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4% раствор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Железоаммониевые квасцы- 5% р-р.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Хлорид золота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AuCl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0,2%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40% формалин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7.20% формалин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Натрия тиосульфат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5% раствор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Нитрат серебра- 10% р-р.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гидрооксид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- 40%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гидрооксид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10%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Дисцилированная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вода</w:t>
      </w:r>
    </w:p>
    <w:p w:rsidR="006C1138" w:rsidRDefault="006C1138" w:rsidP="0099412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 (аммиак)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- 25% р-р.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Т.к. данные прописи не содержали в себе все необходимые реактивы. Часть </w:t>
      </w:r>
      <w:r w:rsidR="0099412A">
        <w:rPr>
          <w:rFonts w:ascii="Times New Roman" w:eastAsia="Calibri" w:hAnsi="Times New Roman" w:cs="Times New Roman"/>
          <w:sz w:val="28"/>
          <w:szCs w:val="28"/>
        </w:rPr>
        <w:t>рекомендуется изготавливать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месте.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Е) Приготовление раствора аммиачного серебра (в бурую бутылку) №1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Гоморри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2мл 10%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+1мл10%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+0,5 мл 25%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= перемешивать до растворения осадка 1-2 мин.+ 40 мл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дисцилированной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воды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Приготовления проявителя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10мл 40% формалина+40 мл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дисцилированной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воды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Приготовление 5% водного раствора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 (тиосульфата натрия)</w:t>
      </w:r>
    </w:p>
    <w:p w:rsidR="006C1138" w:rsidRDefault="006C1138" w:rsidP="0099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рН 8,0. </w:t>
      </w:r>
      <w:smartTag w:uri="urn:schemas-microsoft-com:office:smarttags" w:element="metricconverter">
        <w:smartTagPr>
          <w:attr w:name="ProductID" w:val="18,61 г"/>
        </w:smartTagPr>
        <w:r>
          <w:rPr>
            <w:rFonts w:ascii="Times New Roman" w:eastAsia="Calibri" w:hAnsi="Times New Roman" w:cs="Times New Roman"/>
            <w:sz w:val="28"/>
          </w:rPr>
          <w:t>18,61 г</w:t>
        </w:r>
      </w:smartTag>
      <w:r>
        <w:rPr>
          <w:rFonts w:ascii="Times New Roman" w:eastAsia="Calibri" w:hAnsi="Times New Roman" w:cs="Times New Roman"/>
          <w:sz w:val="28"/>
        </w:rPr>
        <w:t xml:space="preserve"> соли помещают в химический стакан на 100 мл, добавляют 80 мл дистиллированной воды, интенсивно размешивают и доводят рН до 8,0</w:t>
      </w:r>
      <w:r>
        <w:rPr>
          <w:rFonts w:ascii="Times New Roman" w:eastAsia="Calibri" w:hAnsi="Times New Roman" w:cs="Times New Roman"/>
          <w:sz w:val="28"/>
        </w:rPr>
        <w:sym w:font="Symbol" w:char="F0B1"/>
      </w:r>
      <w:r>
        <w:rPr>
          <w:rFonts w:ascii="Times New Roman" w:eastAsia="Calibri" w:hAnsi="Times New Roman" w:cs="Times New Roman"/>
          <w:sz w:val="28"/>
        </w:rPr>
        <w:t>0,1 с помощью натрия гидроокиси. Раствор хранят в темной полипропиленовой посуде при температуре (4</w:t>
      </w:r>
      <w:r>
        <w:rPr>
          <w:rFonts w:ascii="Times New Roman" w:eastAsia="Calibri" w:hAnsi="Times New Roman" w:cs="Times New Roman"/>
          <w:sz w:val="28"/>
        </w:rPr>
        <w:sym w:font="Symbol" w:char="F0B1"/>
      </w:r>
      <w:r>
        <w:rPr>
          <w:rFonts w:ascii="Times New Roman" w:eastAsia="Calibri" w:hAnsi="Times New Roman" w:cs="Times New Roman"/>
          <w:sz w:val="28"/>
        </w:rPr>
        <w:t>2) </w:t>
      </w:r>
      <w:proofErr w:type="spellStart"/>
      <w:r>
        <w:rPr>
          <w:rFonts w:ascii="Times New Roman" w:eastAsia="Calibri" w:hAnsi="Times New Roman" w:cs="Times New Roman"/>
          <w:sz w:val="28"/>
          <w:vertAlign w:val="superscript"/>
        </w:rPr>
        <w:t>о</w:t>
      </w:r>
      <w:r>
        <w:rPr>
          <w:rFonts w:ascii="Times New Roman" w:eastAsia="Calibri" w:hAnsi="Times New Roman" w:cs="Times New Roman"/>
          <w:sz w:val="28"/>
        </w:rPr>
        <w:t>С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до 3 мес.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Приготовление раствора аммиачного серебра (в бурую бутылку) №2 (Модификация)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20мл 10%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+2-4 капли 40%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 перемешать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+ 25%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= добавлять по каплям до устранения помутнения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+ довести до 80 мл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дисцилированной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Приготовление 5% водного раствора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 (тиосульфата натрия)</w:t>
      </w:r>
    </w:p>
    <w:p w:rsidR="006C1138" w:rsidRDefault="006C1138" w:rsidP="00994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рН 8,0. </w:t>
      </w:r>
      <w:smartTag w:uri="urn:schemas-microsoft-com:office:smarttags" w:element="metricconverter">
        <w:smartTagPr>
          <w:attr w:name="ProductID" w:val="18,61 г"/>
        </w:smartTagPr>
        <w:r>
          <w:rPr>
            <w:rFonts w:ascii="Times New Roman" w:eastAsia="Calibri" w:hAnsi="Times New Roman" w:cs="Times New Roman"/>
            <w:sz w:val="28"/>
          </w:rPr>
          <w:t>18,61 г</w:t>
        </w:r>
      </w:smartTag>
      <w:r>
        <w:rPr>
          <w:rFonts w:ascii="Times New Roman" w:eastAsia="Calibri" w:hAnsi="Times New Roman" w:cs="Times New Roman"/>
          <w:sz w:val="28"/>
        </w:rPr>
        <w:t xml:space="preserve"> соли помещают в химический стакан на 100 мл, добавляют 80 мл дистиллированной воды, интенсивно размешивают и доводят рН до 8,0</w:t>
      </w:r>
      <w:r>
        <w:rPr>
          <w:rFonts w:ascii="Times New Roman" w:eastAsia="Calibri" w:hAnsi="Times New Roman" w:cs="Times New Roman"/>
          <w:sz w:val="28"/>
        </w:rPr>
        <w:sym w:font="Symbol" w:char="F0B1"/>
      </w:r>
      <w:r>
        <w:rPr>
          <w:rFonts w:ascii="Times New Roman" w:eastAsia="Calibri" w:hAnsi="Times New Roman" w:cs="Times New Roman"/>
          <w:sz w:val="28"/>
        </w:rPr>
        <w:t>0,1 с помощью натрия гидроокиси. Раствор хранят в темной полипропиленовой посуде при температуре (4</w:t>
      </w:r>
      <w:r>
        <w:rPr>
          <w:rFonts w:ascii="Times New Roman" w:eastAsia="Calibri" w:hAnsi="Times New Roman" w:cs="Times New Roman"/>
          <w:sz w:val="28"/>
        </w:rPr>
        <w:sym w:font="Symbol" w:char="F0B1"/>
      </w:r>
      <w:r>
        <w:rPr>
          <w:rFonts w:ascii="Times New Roman" w:eastAsia="Calibri" w:hAnsi="Times New Roman" w:cs="Times New Roman"/>
          <w:sz w:val="28"/>
        </w:rPr>
        <w:t>2) </w:t>
      </w:r>
      <w:proofErr w:type="spellStart"/>
      <w:r>
        <w:rPr>
          <w:rFonts w:ascii="Times New Roman" w:eastAsia="Calibri" w:hAnsi="Times New Roman" w:cs="Times New Roman"/>
          <w:sz w:val="28"/>
          <w:vertAlign w:val="superscript"/>
        </w:rPr>
        <w:t>о</w:t>
      </w:r>
      <w:r>
        <w:rPr>
          <w:rFonts w:ascii="Times New Roman" w:eastAsia="Calibri" w:hAnsi="Times New Roman" w:cs="Times New Roman"/>
          <w:sz w:val="28"/>
        </w:rPr>
        <w:t>С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до 3 мес.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все реактивы имелись в наличии, мы приступали к окраске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депарафинизированных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криотомированных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гистологических срезов, помещённых на предметное стекло.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Ж) Серебрение 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Гоморри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Гротту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(методика оригинальная)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замороженный срез.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Промыть срез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20 сек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4 (марганцовка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0,5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%- </w:t>
      </w:r>
      <w:r>
        <w:rPr>
          <w:rFonts w:ascii="Times New Roman" w:eastAsia="Calibri" w:hAnsi="Times New Roman" w:cs="Times New Roman"/>
          <w:b/>
          <w:sz w:val="28"/>
          <w:szCs w:val="28"/>
        </w:rPr>
        <w:t>2 мин</w:t>
      </w:r>
      <w:r>
        <w:rPr>
          <w:rFonts w:ascii="Times New Roman" w:eastAsia="Calibri" w:hAnsi="Times New Roman" w:cs="Times New Roman"/>
          <w:sz w:val="28"/>
          <w:szCs w:val="28"/>
        </w:rPr>
        <w:t>. (побурение среза)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1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Щавелевая кислота 0,5% - </w:t>
      </w:r>
      <w:r>
        <w:rPr>
          <w:rFonts w:ascii="Times New Roman" w:eastAsia="Calibri" w:hAnsi="Times New Roman" w:cs="Times New Roman"/>
          <w:b/>
          <w:sz w:val="28"/>
          <w:szCs w:val="28"/>
        </w:rPr>
        <w:t>1-2 мин</w:t>
      </w:r>
      <w:r>
        <w:rPr>
          <w:rFonts w:ascii="Times New Roman" w:eastAsia="Calibri" w:hAnsi="Times New Roman" w:cs="Times New Roman"/>
          <w:sz w:val="28"/>
          <w:szCs w:val="28"/>
        </w:rPr>
        <w:t>. до обесцвечивания среза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1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3(</w:t>
      </w:r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хлорид железа)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4%- </w:t>
      </w:r>
      <w:r>
        <w:rPr>
          <w:rFonts w:ascii="Times New Roman" w:eastAsia="Calibri" w:hAnsi="Times New Roman" w:cs="Times New Roman"/>
          <w:b/>
          <w:sz w:val="28"/>
          <w:szCs w:val="28"/>
        </w:rPr>
        <w:t>2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Промыть в проточной воде - </w:t>
      </w:r>
      <w:r>
        <w:rPr>
          <w:rFonts w:ascii="Times New Roman" w:eastAsia="Calibri" w:hAnsi="Times New Roman" w:cs="Times New Roman"/>
          <w:b/>
          <w:sz w:val="28"/>
          <w:szCs w:val="28"/>
        </w:rPr>
        <w:t>3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Промыть срез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.)-</w:t>
      </w:r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3-5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В раствор аммиачного серебра -</w:t>
      </w:r>
      <w:r>
        <w:rPr>
          <w:rFonts w:ascii="Times New Roman" w:eastAsia="Calibri" w:hAnsi="Times New Roman" w:cs="Times New Roman"/>
          <w:b/>
          <w:sz w:val="28"/>
          <w:szCs w:val="28"/>
        </w:rPr>
        <w:t>1-5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тёмном стакане) до потемнения срезов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 Промыть срез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.)-</w:t>
      </w:r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 сек</w:t>
      </w:r>
      <w:r>
        <w:rPr>
          <w:rFonts w:ascii="Times New Roman" w:eastAsia="Calibri" w:hAnsi="Times New Roman" w:cs="Times New Roman"/>
          <w:sz w:val="28"/>
          <w:szCs w:val="28"/>
        </w:rPr>
        <w:t>. (1-2 макания)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Формалин 20%- </w:t>
      </w:r>
      <w:r>
        <w:rPr>
          <w:rFonts w:ascii="Times New Roman" w:eastAsia="Calibri" w:hAnsi="Times New Roman" w:cs="Times New Roman"/>
          <w:b/>
          <w:sz w:val="28"/>
          <w:szCs w:val="28"/>
        </w:rPr>
        <w:t>1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AuCl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3(хлорид золота)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0,2%- </w:t>
      </w:r>
      <w:r>
        <w:rPr>
          <w:rFonts w:ascii="Times New Roman" w:eastAsia="Calibri" w:hAnsi="Times New Roman" w:cs="Times New Roman"/>
          <w:b/>
          <w:sz w:val="28"/>
          <w:szCs w:val="28"/>
        </w:rPr>
        <w:t>10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2мин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 (натрия тиосульфат)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 -</w:t>
      </w:r>
      <w:r>
        <w:rPr>
          <w:rFonts w:ascii="Times New Roman" w:eastAsia="Calibri" w:hAnsi="Times New Roman" w:cs="Times New Roman"/>
          <w:b/>
          <w:sz w:val="28"/>
          <w:szCs w:val="28"/>
        </w:rPr>
        <w:t>1-5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Докрасить  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Гизон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Эозином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время окраски в зависимости от толщины среза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27 мин. 40 сек. до 42 мин. 40 сек.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Рабочие этапы-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Полученные результаты: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фон серо-коричневый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ретикулярные волокна- чёрные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Ядра клеток- розовые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З) Серебрение (методика модифицированная)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депарафинированный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срез.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Промыть срез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 сек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4 (марганцовка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0,25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%- </w:t>
      </w:r>
      <w:r>
        <w:rPr>
          <w:rFonts w:ascii="Times New Roman" w:eastAsia="Calibri" w:hAnsi="Times New Roman" w:cs="Times New Roman"/>
          <w:b/>
          <w:sz w:val="28"/>
          <w:szCs w:val="28"/>
        </w:rPr>
        <w:t>5 мин</w:t>
      </w:r>
      <w:r>
        <w:rPr>
          <w:rFonts w:ascii="Times New Roman" w:eastAsia="Calibri" w:hAnsi="Times New Roman" w:cs="Times New Roman"/>
          <w:sz w:val="28"/>
          <w:szCs w:val="28"/>
        </w:rPr>
        <w:t>. до побурения среза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1мин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Щавелевая кислота 1% - </w:t>
      </w:r>
      <w:r>
        <w:rPr>
          <w:rFonts w:ascii="Times New Roman" w:eastAsia="Calibri" w:hAnsi="Times New Roman" w:cs="Times New Roman"/>
          <w:b/>
          <w:sz w:val="28"/>
          <w:szCs w:val="28"/>
        </w:rPr>
        <w:t>1 мин</w:t>
      </w:r>
      <w:r>
        <w:rPr>
          <w:rFonts w:ascii="Times New Roman" w:eastAsia="Calibri" w:hAnsi="Times New Roman" w:cs="Times New Roman"/>
          <w:sz w:val="28"/>
          <w:szCs w:val="28"/>
        </w:rPr>
        <w:t>. до обесцвечивания среза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1мин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Железоаммониевые квасцы 5%-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</w:t>
      </w:r>
      <w:proofErr w:type="gramEnd"/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Промыть в воде - </w:t>
      </w:r>
      <w:r>
        <w:rPr>
          <w:rFonts w:ascii="Times New Roman" w:eastAsia="Calibri" w:hAnsi="Times New Roman" w:cs="Times New Roman"/>
          <w:b/>
          <w:sz w:val="28"/>
          <w:szCs w:val="28"/>
        </w:rPr>
        <w:t>по 3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4-х сменах (итого 12 минут)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3 мин</w:t>
      </w:r>
      <w:r>
        <w:rPr>
          <w:rFonts w:ascii="Times New Roman" w:eastAsia="Calibri" w:hAnsi="Times New Roman" w:cs="Times New Roman"/>
          <w:sz w:val="28"/>
          <w:szCs w:val="28"/>
        </w:rPr>
        <w:t>. в 2-х сменах (итого 6 минут)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В раствор аммиачного серебра - </w:t>
      </w:r>
      <w:r>
        <w:rPr>
          <w:rFonts w:ascii="Times New Roman" w:eastAsia="Calibri" w:hAnsi="Times New Roman" w:cs="Times New Roman"/>
          <w:b/>
          <w:sz w:val="28"/>
          <w:szCs w:val="28"/>
        </w:rPr>
        <w:t>5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тёмном стакане) до потемнения срезов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 Промыть срез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.)-</w:t>
      </w:r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 сек</w:t>
      </w:r>
      <w:r>
        <w:rPr>
          <w:rFonts w:ascii="Times New Roman" w:eastAsia="Calibri" w:hAnsi="Times New Roman" w:cs="Times New Roman"/>
          <w:sz w:val="28"/>
          <w:szCs w:val="28"/>
        </w:rPr>
        <w:t>. (1-2 макания)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Формалин 30%- </w:t>
      </w:r>
      <w:r>
        <w:rPr>
          <w:rFonts w:ascii="Times New Roman" w:eastAsia="Calibri" w:hAnsi="Times New Roman" w:cs="Times New Roman"/>
          <w:b/>
          <w:sz w:val="28"/>
          <w:szCs w:val="28"/>
        </w:rPr>
        <w:t>1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 (натрия тиосульфат)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5% -</w:t>
      </w:r>
      <w:r>
        <w:rPr>
          <w:rFonts w:ascii="Times New Roman" w:eastAsia="Calibri" w:hAnsi="Times New Roman" w:cs="Times New Roman"/>
          <w:b/>
          <w:sz w:val="28"/>
          <w:szCs w:val="28"/>
        </w:rPr>
        <w:t>1 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Промыть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дисц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1мин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время окраски в зависимости от толщины среза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35 мин. 40 сек. до 49 мин. 10 сек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этапы-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Полученные результаты: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 фон желтоватый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Б. ретикулярные волокна- чёрные </w:t>
      </w:r>
    </w:p>
    <w:p w:rsidR="006C1138" w:rsidRDefault="006C1138" w:rsidP="00994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Ядра клеток не окрашены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проведения исследований и анализа полученных результатов можно сделать следующие выводы:</w:t>
      </w:r>
    </w:p>
    <w:p w:rsidR="006C1138" w:rsidRDefault="006C1138" w:rsidP="009941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Модифицированная методика позволяет сократить число рабочих этапов, что несколько упрощает проведения исследования</w:t>
      </w:r>
    </w:p>
    <w:p w:rsidR="006C1138" w:rsidRDefault="006C1138" w:rsidP="009941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 давности проведения исследования, существенных различий получено не было</w:t>
      </w:r>
    </w:p>
    <w:p w:rsidR="006C1138" w:rsidRDefault="006C1138" w:rsidP="009941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сравнительном анализе качества получаемой окраски, отсутствие резкого </w:t>
      </w:r>
      <w:r w:rsidR="0099412A">
        <w:rPr>
          <w:rFonts w:ascii="Times New Roman" w:hAnsi="Times New Roman" w:cs="Times New Roman"/>
          <w:sz w:val="28"/>
          <w:szCs w:val="28"/>
        </w:rPr>
        <w:t>фонового окрашивания</w:t>
      </w:r>
      <w:r>
        <w:rPr>
          <w:rFonts w:ascii="Times New Roman" w:hAnsi="Times New Roman" w:cs="Times New Roman"/>
          <w:sz w:val="28"/>
          <w:szCs w:val="28"/>
        </w:rPr>
        <w:t>, как и не перекрашивание ядер, нисколько не умоляет диагностической значимости морфологической картины гистологического объекта</w:t>
      </w:r>
    </w:p>
    <w:p w:rsidR="006C1138" w:rsidRDefault="006C1138" w:rsidP="009941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модифицированная методика была надёжно воспроизводима, в большем проценте проведённых исследований.</w:t>
      </w:r>
    </w:p>
    <w:p w:rsidR="006C1138" w:rsidRDefault="006C1138" w:rsidP="009941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необходимости в изготовлении замороженных срезов, позволяет применять модифицированную методику на регулярной основе, не отвлекая лаборанта-гистолога другим видом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криотомирование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C1138" w:rsidRDefault="006C1138" w:rsidP="0099412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данной методики расширяет спектр и повышает уровень визуализации ряда патологических изменений в тканях и органах.</w:t>
      </w: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Лилли Р. Патогистологическая техника практическа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 "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гистохимия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Пер. с англ. М-: Мир, 1969. - 845 с, </w:t>
      </w:r>
    </w:p>
    <w:p w:rsidR="006C1138" w:rsidRDefault="006C1138" w:rsidP="009941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Локтев Н. А. Основы количественной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Ставрополь,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1999.-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128 с.</w:t>
      </w:r>
    </w:p>
    <w:p w:rsidR="006C1138" w:rsidRDefault="006C1138" w:rsidP="009941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Основные гистологические методики окраски центральной нервной системы: Методические рекомендации. - М., 1978. - 36 с.</w:t>
      </w:r>
    </w:p>
    <w:p w:rsidR="006C1138" w:rsidRDefault="006C1138" w:rsidP="009941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Сапожников А.В.,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Доросевич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Е. Гистологическая и микроскопическая техника: Руководство</w:t>
      </w:r>
      <w:r w:rsidR="005172A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- Смоленск, 2000. - 442с.</w:t>
      </w:r>
    </w:p>
    <w:p w:rsidR="006C1138" w:rsidRDefault="006C1138" w:rsidP="0099412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C1138" w:rsidRDefault="006C1138" w:rsidP="009941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59" w:rsidRDefault="00966559" w:rsidP="0099412A">
      <w:pPr>
        <w:jc w:val="both"/>
      </w:pPr>
    </w:p>
    <w:sectPr w:rsidR="0096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5C19"/>
    <w:multiLevelType w:val="hybridMultilevel"/>
    <w:tmpl w:val="2D66F1EE"/>
    <w:lvl w:ilvl="0" w:tplc="BABE897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44009"/>
    <w:multiLevelType w:val="hybridMultilevel"/>
    <w:tmpl w:val="D3CCB1A2"/>
    <w:lvl w:ilvl="0" w:tplc="0C8E18E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F50E77"/>
    <w:multiLevelType w:val="hybridMultilevel"/>
    <w:tmpl w:val="629ED00C"/>
    <w:lvl w:ilvl="0" w:tplc="D2D022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87298"/>
    <w:multiLevelType w:val="hybridMultilevel"/>
    <w:tmpl w:val="CA0CD408"/>
    <w:lvl w:ilvl="0" w:tplc="029A3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945AC"/>
    <w:multiLevelType w:val="hybridMultilevel"/>
    <w:tmpl w:val="0BA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92547"/>
    <w:multiLevelType w:val="hybridMultilevel"/>
    <w:tmpl w:val="86FCDD78"/>
    <w:lvl w:ilvl="0" w:tplc="E86C3A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D8"/>
    <w:rsid w:val="004531F2"/>
    <w:rsid w:val="005172A3"/>
    <w:rsid w:val="006C1138"/>
    <w:rsid w:val="006E54DB"/>
    <w:rsid w:val="00966559"/>
    <w:rsid w:val="0099412A"/>
    <w:rsid w:val="00A046D8"/>
    <w:rsid w:val="00D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8EB9-F1D5-4D7E-A610-EFC2ED6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38"/>
    <w:pPr>
      <w:ind w:left="720"/>
      <w:contextualSpacing/>
    </w:pPr>
  </w:style>
  <w:style w:type="table" w:styleId="a4">
    <w:name w:val="Table Grid"/>
    <w:basedOn w:val="a1"/>
    <w:uiPriority w:val="39"/>
    <w:rsid w:val="006C11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2020-12-30T03:44:00Z</dcterms:created>
  <dcterms:modified xsi:type="dcterms:W3CDTF">2020-12-30T03:59:00Z</dcterms:modified>
</cp:coreProperties>
</file>