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5" w:rsidRDefault="004A3A85" w:rsidP="004A3A85">
      <w:pPr>
        <w:pStyle w:val="2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ЮСТИЦИИ РЕСПУБЛИКИ КАЗАХСТАН</w:t>
      </w:r>
    </w:p>
    <w:p w:rsidR="004A3A85" w:rsidRDefault="004A3A85" w:rsidP="004A3A8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РГКП «ЦЕНТР СУДЕБНЫХ ЭКСПЕРТИЗ» МЮ РК</w:t>
      </w:r>
    </w:p>
    <w:p w:rsidR="004A3A85" w:rsidRDefault="004A3A85" w:rsidP="004A3A85">
      <w:pPr>
        <w:pStyle w:val="22"/>
        <w:rPr>
          <w:szCs w:val="28"/>
        </w:rPr>
      </w:pPr>
    </w:p>
    <w:p w:rsidR="004A3A85" w:rsidRDefault="004A3A85" w:rsidP="004A3A85">
      <w:pPr>
        <w:pStyle w:val="22"/>
        <w:rPr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  <w:r>
        <w:rPr>
          <w:sz w:val="28"/>
          <w:szCs w:val="28"/>
        </w:rPr>
        <w:t>Измерения массовой концентрации этанола в пробах крови и мочи методом парофазной газовой хроматографии с термостатированием</w:t>
      </w: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left="1560" w:hanging="1276"/>
        <w:jc w:val="center"/>
        <w:rPr>
          <w:sz w:val="28"/>
          <w:szCs w:val="28"/>
        </w:rPr>
      </w:pPr>
    </w:p>
    <w:p w:rsidR="004A3A85" w:rsidRDefault="004A3A85" w:rsidP="004A3A85">
      <w:pPr>
        <w:ind w:right="-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НУР-СУЛТАН, 2020</w:t>
      </w:r>
    </w:p>
    <w:p w:rsidR="004A3A85" w:rsidRDefault="004A3A85" w:rsidP="004A3A85">
      <w:pPr>
        <w:ind w:right="-2"/>
        <w:jc w:val="center"/>
        <w:rPr>
          <w:b/>
          <w:color w:val="000000"/>
          <w:szCs w:val="28"/>
        </w:rPr>
      </w:pPr>
    </w:p>
    <w:p w:rsidR="004A3A85" w:rsidRDefault="004A3A85" w:rsidP="004A3A85">
      <w:pPr>
        <w:ind w:right="-2"/>
        <w:jc w:val="center"/>
        <w:rPr>
          <w:b/>
          <w:color w:val="000000"/>
          <w:szCs w:val="28"/>
        </w:rPr>
      </w:pPr>
    </w:p>
    <w:p w:rsidR="004A3A85" w:rsidRDefault="004A3A85" w:rsidP="004A3A85">
      <w:pPr>
        <w:ind w:right="-2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4A3A85" w:rsidRDefault="004A3A85" w:rsidP="004A3A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МЕТОДИКИ</w:t>
      </w:r>
    </w:p>
    <w:p w:rsidR="004A3A85" w:rsidRDefault="004A3A85" w:rsidP="004A3A85">
      <w:pPr>
        <w:jc w:val="both"/>
        <w:rPr>
          <w:sz w:val="28"/>
          <w:szCs w:val="28"/>
        </w:rPr>
      </w:pPr>
    </w:p>
    <w:tbl>
      <w:tblPr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46"/>
        <w:gridCol w:w="5918"/>
      </w:tblGrid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1.Наименование 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массовой концентрации этанола в пробах крови и мочи методом парофазной газовой хроматографии с термостатированием 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2.Шифр специальности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3.Информация о 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разработчиках (составителе(ях)) 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Н.В. Филиал РГКП «Центр судебных экспертиз МЮ РК» ИСЭ по Северо-Казахстанской области. Руководитель химико-токсикологического отделения, судебно-медицинский эксперт высшей категории.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Сопин Д.С.  Филиал РГКП «Центр судебных экспертиз МЮ РК» ИСЭ по Северо-Казахстанской области. Эксперт     химико-токсикологического отделения.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4.Сущность 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основе метода лежит разделение смеси компонентов равновесной паровой фазы, отобранной из замкнутого объема после термостатирования образца, методом газожидкостной хроматографии с последующим анализом компонентов с помощью пламенно-ионизационного детектора.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4.1Экспертные задачи,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решаемые методикой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наличия и концентрации этилового спирта.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Объекты исследования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Кровь, моча, этанол в водных растворах.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4.3 Методы исследования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Парофазный газохроматографический анализ.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 Краткое поэтапное</w:t>
            </w:r>
          </w:p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описание 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оборудования к выполнению измерений;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Приготовление стандартных и рабочих растворов;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Градуировка хроматографа; 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стабильности градуировочной характеристики;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Пробоподготовка и выполнение измерений;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Обработка результатов измерений;</w:t>
            </w:r>
          </w:p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7. Синтез и формулирование выводов.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Сведения о дате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рассмотрения и одобрения методики на совместном заседании Научно-методического и Ученого советов Центра судебных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экспертиз Министерства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юстиции Республики</w:t>
            </w:r>
          </w:p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Казахстан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Протокол №1 от 18.06.2020г.</w:t>
            </w:r>
          </w:p>
        </w:tc>
      </w:tr>
      <w:tr w:rsidR="004A3A85" w:rsidTr="004A3A85"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Информация о</w:t>
            </w:r>
          </w:p>
          <w:p w:rsidR="004A3A85" w:rsidRDefault="004A3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составителе паспорта</w:t>
            </w:r>
          </w:p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методики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A85" w:rsidRDefault="004A3A8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Сопин Д.С.  Филиал РГКП «Центр судебных экспертиз МЮ РК» ИСЭ по Северо-Казахстанской области. Эксперт     химико-токсикологического отделения.</w:t>
            </w:r>
          </w:p>
        </w:tc>
      </w:tr>
    </w:tbl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rPr>
          <w:sz w:val="28"/>
          <w:szCs w:val="28"/>
        </w:rPr>
      </w:pPr>
    </w:p>
    <w:p w:rsidR="004A3A85" w:rsidRDefault="004A3A85" w:rsidP="004A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не может быть частично или полностью воспроизведена, растиражирована и распространена в качестве официального издания, без согласования с ЦСЭ МЮ РК.</w:t>
      </w: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25"/>
        <w:gridCol w:w="530"/>
      </w:tblGrid>
      <w:tr w:rsidR="004A3A85" w:rsidTr="004A3A85">
        <w:trPr>
          <w:trHeight w:val="345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A3A85" w:rsidTr="004A3A85">
        <w:trPr>
          <w:trHeight w:val="345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Метрологические характеристики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A3A85" w:rsidTr="004A3A85">
        <w:trPr>
          <w:trHeight w:val="390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 и обозначения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A3A85" w:rsidTr="004A3A85">
        <w:trPr>
          <w:trHeight w:val="705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средствам измерений, вспомогательным устройствам, реактивам и материалам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A3A85" w:rsidTr="004A3A85">
        <w:trPr>
          <w:trHeight w:val="360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техники безопасности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4A3A85" w:rsidTr="004A3A85">
        <w:trPr>
          <w:trHeight w:val="345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квалификации операторов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A3A85" w:rsidTr="004A3A85">
        <w:trPr>
          <w:trHeight w:val="339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условиям измерений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A3A85" w:rsidTr="004A3A85">
        <w:trPr>
          <w:trHeight w:val="180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Отбор проб                                                                                         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A3A85" w:rsidTr="004A3A85">
        <w:trPr>
          <w:trHeight w:val="390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выполнению измерений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A3A85" w:rsidTr="004A3A85">
        <w:trPr>
          <w:trHeight w:val="345"/>
        </w:trPr>
        <w:tc>
          <w:tcPr>
            <w:tcW w:w="9039" w:type="dxa"/>
            <w:hideMark/>
          </w:tcPr>
          <w:p w:rsidR="004A3A85" w:rsidRDefault="004A3A85" w:rsidP="00D425A0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Пробоподготовка и выполнение измерений                                             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A3A85" w:rsidTr="004A3A85">
        <w:trPr>
          <w:trHeight w:val="337"/>
        </w:trPr>
        <w:tc>
          <w:tcPr>
            <w:tcW w:w="9039" w:type="dxa"/>
            <w:hideMark/>
          </w:tcPr>
          <w:p w:rsidR="004A3A85" w:rsidRDefault="004A3A8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11. Обработка результатов измерений                                                             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A3A85" w:rsidTr="004A3A85">
        <w:trPr>
          <w:trHeight w:val="699"/>
        </w:trPr>
        <w:tc>
          <w:tcPr>
            <w:tcW w:w="9039" w:type="dxa"/>
            <w:hideMark/>
          </w:tcPr>
          <w:p w:rsidR="004A3A85" w:rsidRDefault="004A3A8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12. Контроль качества результатов измерений при реализации методики в лаборатории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A3A85" w:rsidTr="004A3A85">
        <w:tc>
          <w:tcPr>
            <w:tcW w:w="9039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13.Заключение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A3A85" w:rsidTr="004A3A85">
        <w:tc>
          <w:tcPr>
            <w:tcW w:w="9039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14.Список использованных источников</w:t>
            </w:r>
          </w:p>
        </w:tc>
        <w:tc>
          <w:tcPr>
            <w:tcW w:w="531" w:type="dxa"/>
            <w:hideMark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A3A85" w:rsidTr="004A3A85">
        <w:tc>
          <w:tcPr>
            <w:tcW w:w="9039" w:type="dxa"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15.Приложения</w:t>
            </w:r>
          </w:p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 1. Алкоголеметрические таблицы</w:t>
            </w:r>
          </w:p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2. Примеры времен удерживания и хроматограммы определяемых компонентов</w:t>
            </w:r>
          </w:p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1" w:type="dxa"/>
          </w:tcPr>
          <w:p w:rsidR="004A3A85" w:rsidRDefault="004A3A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A3A85" w:rsidRDefault="004A3A85" w:rsidP="004A3A85">
      <w:pPr>
        <w:jc w:val="center"/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Введение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основе методики измерений лежит газохроматографическое определение летучих органических соединений с использованием статического парофазного анализа.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Анализируемую пробу помещают в виалу, плотно укупоривают. Анализу подвергают воздушно-паровую фазу из газового пространства виалы над поверхностью пробы. Отбор паровой фазы осуществляют при термостатировании,  в автоматическом режиме. Аликвоту газовой фазы вводят в испаритель хроматографа. Для разделения пробы используют капиллярную колонку. В качестве детектора используют -  пламенно-ионизационный детектор. Расчет концентрации этилового спирта производят после калибровки по методу внутреннего стандарта. Внутренним стандартом служит пропанол-1.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Методика устанавливает процедуру измерения массовой концентрации этилового спирта  в цельной или гемолизированной крови и моче, в водных растворах в диапазоне измерений от 0,15 до 6,0 ‰ (промилле).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Актуальность и преимущество методики. Обнаружение и количественное определение этилового спирта в биожидкостях востребованный вид анализа в медицинской и судебно-медицинской практике (до 80-90% экспертиз). В настоящее время в химико-токсикологических лабораториях ИСЭ  применяется «алкилнитритный» метод, в котором отсутствует автоматизация процесса, и как итог – нерациональное расходование времени эксперта, так же из-за своей специфики несет негативное воздействие на здоровье. Предложенный нами подход: позволяет исследовать образцы в автоматическом режиме; минимизирует вероятность получения ложноположительных результатов; повышает воспроизводимость за счет отсутствия этапа предварительного получения алкилнитритных производных (отсутствует составляющая погрешности связанная с неполнотой дериватизации); отсутствует необходимость работы с токсичными дериватизирующими агентами.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Метрологические характеристики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обеспечивает получение результатов измерений с приписанными показаниями точности, не превышающими значения, приведенные в таблице 1.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pPr w:leftFromText="180" w:rightFromText="180" w:vertAnchor="page" w:horzAnchor="margin" w:tblpY="3115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081"/>
        <w:gridCol w:w="2416"/>
        <w:gridCol w:w="2081"/>
        <w:gridCol w:w="1778"/>
      </w:tblGrid>
      <w:tr w:rsidR="004A3A85" w:rsidTr="004A3A85">
        <w:trPr>
          <w:trHeight w:val="300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 измерений массовой концентрации этанола, ‰ (промилле)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точности (границы относительной погрешности при  Р=0,95, ±δ, %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повторяемости (относительное среднеквадратическое отклонение повторяемости, σ</w:t>
            </w:r>
            <w:r>
              <w:rPr>
                <w:sz w:val="28"/>
                <w:szCs w:val="28"/>
                <w:vertAlign w:val="subscript"/>
                <w:lang w:val="en-US"/>
              </w:rPr>
              <w:t>r</w:t>
            </w:r>
            <w:r>
              <w:rPr>
                <w:sz w:val="28"/>
                <w:szCs w:val="28"/>
              </w:rPr>
              <w:t>, %</w:t>
            </w:r>
          </w:p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воспроизводимости (относительное среднеквадратическое отклонение воспроизводимости), σ</w:t>
            </w:r>
            <w:r>
              <w:rPr>
                <w:sz w:val="28"/>
                <w:szCs w:val="28"/>
                <w:vertAlign w:val="subscript"/>
                <w:lang w:val="en-US"/>
              </w:rPr>
              <w:t>R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правильности (границы относительной систематической погрешности) при Р=0,95, ±δ</w:t>
            </w:r>
            <w:r>
              <w:rPr>
                <w:sz w:val="28"/>
                <w:szCs w:val="28"/>
                <w:vertAlign w:val="subscript"/>
              </w:rPr>
              <w:t>с</w:t>
            </w:r>
            <w:r>
              <w:rPr>
                <w:sz w:val="28"/>
                <w:szCs w:val="28"/>
              </w:rPr>
              <w:t>, %</w:t>
            </w:r>
          </w:p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4A3A85" w:rsidTr="004A3A85">
        <w:trPr>
          <w:trHeight w:val="6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0,15 до 6,0 вкюч.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Термины и обозначения</w:t>
      </w:r>
    </w:p>
    <w:p w:rsidR="004A3A85" w:rsidRDefault="004A3A85" w:rsidP="004A3A85">
      <w:pPr>
        <w:tabs>
          <w:tab w:val="left" w:pos="360"/>
        </w:tabs>
        <w:rPr>
          <w:sz w:val="28"/>
          <w:szCs w:val="28"/>
        </w:rPr>
      </w:pPr>
    </w:p>
    <w:p w:rsidR="004A3A85" w:rsidRDefault="004A3A85" w:rsidP="004A3A85">
      <w:pPr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Градуировочный раствор – раствор, использующийся для градуировки хроматографа.</w:t>
      </w:r>
    </w:p>
    <w:p w:rsidR="004A3A85" w:rsidRDefault="004A3A85" w:rsidP="004A3A85">
      <w:pPr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Контрольный раствор этанола – водный раствор этанола, используемый для ежедневного контроля точности.</w:t>
      </w:r>
    </w:p>
    <w:p w:rsidR="004A3A85" w:rsidRDefault="004A3A85" w:rsidP="004A3A85">
      <w:pPr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Фоновая проба – смесь реактивов, необходимых для проведения анализа (с добавлением дистиллированной воды вместо анализируемой пробы)</w:t>
      </w:r>
    </w:p>
    <w:p w:rsidR="004A3A85" w:rsidRDefault="004A3A85" w:rsidP="004A3A85">
      <w:pPr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Нативная кровь – кровь, отобранная у живых лиц, трупов,  подвергавшаяся и не подвергавшаяся  замораживанию.</w:t>
      </w:r>
    </w:p>
    <w:p w:rsidR="004A3A85" w:rsidRDefault="004A3A85" w:rsidP="004A3A85">
      <w:pPr>
        <w:tabs>
          <w:tab w:val="left" w:pos="360"/>
        </w:tabs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Требования к средствам измерений, вспомогательным устройствам, реактивам и материалам</w:t>
      </w: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измерений используют следующие средства измерений, вспомогательные устройства, реактивы и материалы.</w:t>
      </w:r>
    </w:p>
    <w:p w:rsidR="004A3A85" w:rsidRDefault="004A3A85" w:rsidP="004A3A8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Хроматограф газовый, оснащенный: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пламенно-ионизационным детектором: предел детектирования по гептану, не менее – 3х10</w:t>
      </w:r>
      <w:r>
        <w:rPr>
          <w:sz w:val="28"/>
          <w:szCs w:val="28"/>
          <w:vertAlign w:val="superscript"/>
        </w:rPr>
        <w:t>-12</w:t>
      </w:r>
      <w:r>
        <w:rPr>
          <w:sz w:val="28"/>
          <w:szCs w:val="28"/>
        </w:rPr>
        <w:t xml:space="preserve"> гС/с; относительное среднеквадратичное отклонение выходных сигналов (высота, площадь и время удерживания), не более – 3%.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Капиллярной колонкой длиной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 м</w:t>
        </w:r>
      </w:smartTag>
      <w:r>
        <w:rPr>
          <w:sz w:val="28"/>
          <w:szCs w:val="28"/>
        </w:rPr>
        <w:t xml:space="preserve">; внутренний диаметр </w:t>
      </w:r>
      <w:smartTag w:uri="urn:schemas-microsoft-com:office:smarttags" w:element="metricconverter">
        <w:smartTagPr>
          <w:attr w:name="ProductID" w:val="0.53 мм"/>
        </w:smartTagPr>
        <w:r>
          <w:rPr>
            <w:sz w:val="28"/>
            <w:szCs w:val="28"/>
          </w:rPr>
          <w:t>0.53 мм</w:t>
        </w:r>
      </w:smartTag>
      <w:r>
        <w:rPr>
          <w:sz w:val="28"/>
          <w:szCs w:val="28"/>
        </w:rPr>
        <w:t>; толщиной фазы 3мкм. Хроматографическая колонка должна обеспечивать разделение искомых веществ, параметры разделения должны соответствовать п. 9.3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Автоматическим парофазным пробоотборником (автосамплером), 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позволяющим нагревать пробу с целью статической парофазной экстракции 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летучих компонентов.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Генератором чистого водорода.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Компрессором для подачи очищенного воздуха в детекторы хроматографа.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Компьютером с программным обеспечением для сбора и обработки данных.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 Дозаторы пипеточные с переменным дозируемым объемом (0,05-1,0)см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 наконечниками, погрешность не более ±2%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4.3 Водные растворы этанола с массовой концентрацией от 0,150 до 6,0 мг/см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4.4 Метанол ч.д.а., ГОСТ 6995-77, с массовой долей основного вещества не менее 99%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4.5 Изопропиловый спирт (пропанол-2), х.ч. по ТУ 2632-015-11291058-95, массовая доля основного вещества не менее 99%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 Пропиловый спирт (пропанол-1, н-пропанол), х.ч. по ТУ 2632-106-44493179-07, массовая доля основного вещества не менее 99,5%.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4.7 ГСО 7815-2000 состава ацетона, интервал допускаемых аттестованных значений массовой доли от 99,60 до 100,00 %.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4.8 Этиловый спирт (этанол), с массовой долей основного вещества не менее 95%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4.9 Вода для лабораторного анализа по ГОСТ Р 52501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4.10 Гелий газообразный, сжатый марки «А»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4.11 Колбы мерные 2-50-2, 2-100-2, 2-500-2 по ГОСТ 1770-74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4.12 Мерные пипетки вместимостью 1, 5, 10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по ГОСТ 20292-74Е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 Флаконы с пробками для хранения реактивов </w:t>
      </w:r>
      <w:r>
        <w:rPr>
          <w:sz w:val="28"/>
          <w:szCs w:val="28"/>
          <w:shd w:val="clear" w:color="auto" w:fill="FFFFFF"/>
        </w:rPr>
        <w:t>по ГОСТ 10782-85</w:t>
      </w: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вместимостью не более 0,1 дм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4.14 Виалы стеклянные вместимостью 20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4.15 Алюминиевые обжимные крышки с септами из инертного материала.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4.16 Устройство для обжима крышек.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4.17 Ареометр для спирта АСП-Т ГОСТ 29227-91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4.18 Холодильник бытовой.</w:t>
      </w: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4.19 Морозильная камера.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Допускается использование других средств измерений утвержденных типов, обеспечивающих измерения с установленной точностью. 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Допускается использования другого оборудования, материалов и реактивов с аналогичными или лучшими метрологическими и техническими характеристиками.</w:t>
      </w: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Требования техники безопасности</w:t>
      </w:r>
    </w:p>
    <w:p w:rsidR="004A3A85" w:rsidRDefault="004A3A85" w:rsidP="004A3A85">
      <w:pPr>
        <w:pStyle w:val="20"/>
        <w:spacing w:after="0" w:line="240" w:lineRule="auto"/>
        <w:ind w:firstLine="0"/>
        <w:rPr>
          <w:sz w:val="28"/>
          <w:szCs w:val="28"/>
        </w:rPr>
      </w:pP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5.1 При выполнении анализов соблюдают требования техники безопасности при работе с химическими реактивами по ГОСТ 12.1.007-76.</w:t>
      </w: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5.2 Помещение, в котором проводят измерения, должно быть оборудовано общей приточно-вытяжной вентиляцией. Содержание вредных веществ в воздухе рабочей зоны не должно превышать норм установленных по ГОСТ 12.1.005-88.</w:t>
      </w: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5.3 Помещение лаборатории должно соответствовать требованиям пожарной безопасности по ГОСТ 12.1.004-91 и иметь средства пожаротушения по ГОСТ 12.4.009-83.</w:t>
      </w: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5.4 При эксплуатации хроматографа соблюдают «Правила технической эксплуатации электроустановок потребителей и правила техники безопасности при эксплуатации электроустановок потребителей», изд. Энергоатомиздат, 1986. Хроматограф устанавливают на лабораторном столе с деревянным или пластмассовым покрытием и надежно заземляют. Техническое обслуживание производят только при выключенном электропитании.</w:t>
      </w: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</w:p>
    <w:p w:rsidR="004A3A85" w:rsidRDefault="004A3A85" w:rsidP="004A3A85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квалификации операторов</w:t>
      </w:r>
    </w:p>
    <w:p w:rsidR="004A3A85" w:rsidRDefault="004A3A85" w:rsidP="004A3A85">
      <w:pPr>
        <w:pStyle w:val="20"/>
        <w:spacing w:after="0" w:line="240" w:lineRule="auto"/>
        <w:ind w:firstLine="0"/>
        <w:rPr>
          <w:sz w:val="28"/>
          <w:szCs w:val="28"/>
        </w:rPr>
      </w:pPr>
    </w:p>
    <w:p w:rsidR="004A3A85" w:rsidRDefault="004A3A85" w:rsidP="004A3A85">
      <w:pPr>
        <w:pStyle w:val="20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К выполнению измерений и обработке результатов допускают специалистов, имеющих опыт работы в химической лаборатории, владеющих методом газовой хроматографии, знающих принцип действия, конструкцию, правила эксплуатации данного оборудования, освоивших методику измерений.</w:t>
      </w: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Требования к условиям измерений</w:t>
      </w: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pStyle w:val="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 Приготовление растворов, подготовку проб и выполнение анализа проводят в следующих условиях:</w:t>
      </w:r>
    </w:p>
    <w:p w:rsidR="004A3A85" w:rsidRDefault="004A3A85" w:rsidP="004A3A85">
      <w:pPr>
        <w:pStyle w:val="2"/>
        <w:tabs>
          <w:tab w:val="left" w:pos="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воздуха (20±5) °С;</w:t>
      </w:r>
    </w:p>
    <w:p w:rsidR="004A3A85" w:rsidRDefault="004A3A85" w:rsidP="004A3A85">
      <w:pPr>
        <w:pStyle w:val="2"/>
        <w:tabs>
          <w:tab w:val="left" w:pos="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атмосферное давление (84-106) кПа;</w:t>
      </w:r>
    </w:p>
    <w:p w:rsidR="004A3A85" w:rsidRDefault="004A3A85" w:rsidP="004A3A85">
      <w:pPr>
        <w:pStyle w:val="2"/>
        <w:tabs>
          <w:tab w:val="left" w:pos="0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относительная влажность воздуха не более 80%.</w:t>
      </w: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Выполнение измерений на оборудовании проводят в условиях, рекомендуемых в руководстве по эксплуатации к нему.</w:t>
      </w:r>
    </w:p>
    <w:p w:rsidR="004A3A85" w:rsidRDefault="004A3A85" w:rsidP="004A3A85">
      <w:pPr>
        <w:pStyle w:val="2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Условия хроматографического анализа и пробоподготовки.</w:t>
      </w: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Подбор оптимальных условий хроматографирования осуществляют изменением скорости подъема температуры колонки, а также скоростью </w:t>
      </w:r>
      <w:r>
        <w:rPr>
          <w:sz w:val="28"/>
          <w:szCs w:val="28"/>
        </w:rPr>
        <w:lastRenderedPageBreak/>
        <w:t>потока газа-носителя через колонку (либо давления в испарители хроматографа).</w:t>
      </w: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 оптимальных условий хроматографического процесса приведены в таблице 2.</w:t>
      </w: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9"/>
      </w:tblGrid>
      <w:tr w:rsidR="004A3A85" w:rsidTr="004A3A85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Температура термостата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4A3A85" w:rsidTr="004A3A85">
        <w:trPr>
          <w:trHeight w:val="1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Температура шприца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</w:tr>
      <w:tr w:rsidR="004A3A85" w:rsidTr="004A3A85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Время термостатирования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</w:t>
            </w:r>
          </w:p>
        </w:tc>
      </w:tr>
      <w:tr w:rsidR="004A3A85" w:rsidTr="004A3A85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Время встряхивания образца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мин</w:t>
            </w:r>
          </w:p>
        </w:tc>
      </w:tr>
      <w:tr w:rsidR="004A3A85" w:rsidTr="004A3A85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Объем забора пробы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4A3A85" w:rsidTr="004A3A85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Скорость забора пробы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Скорость ввода пробы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Колонка  капиллярная кварцевая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Хроматографическая колонка должна обеспечивать разделение искомых веществ см п. 9.3</w:t>
            </w:r>
          </w:p>
        </w:tc>
      </w:tr>
      <w:tr w:rsidR="004A3A85" w:rsidTr="004A3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термостата колонок программируемая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position w:val="-4"/>
                <w:sz w:val="28"/>
                <w:szCs w:val="28"/>
              </w:rPr>
              <w:object w:dxaOrig="13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7" o:title=""/>
                </v:shape>
                <o:OLEObject Type="Embed" ProgID="Equation.3" ShapeID="_x0000_i1025" DrawAspect="Content" ObjectID="_1671631966" r:id="rId8"/>
              </w:object>
            </w:r>
            <w:r>
              <w:rPr>
                <w:sz w:val="28"/>
                <w:szCs w:val="28"/>
              </w:rPr>
              <w:t>С</w:t>
            </w:r>
          </w:p>
        </w:tc>
      </w:tr>
      <w:tr w:rsidR="004A3A85" w:rsidTr="004A3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испарителя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position w:val="-4"/>
                <w:sz w:val="28"/>
                <w:szCs w:val="28"/>
              </w:rPr>
              <w:object w:dxaOrig="135" w:dyaOrig="300">
                <v:shape id="_x0000_i1026" type="#_x0000_t75" style="width:6.75pt;height:15pt" o:ole="">
                  <v:imagedata r:id="rId9" o:title=""/>
                </v:shape>
                <o:OLEObject Type="Embed" ProgID="Equation.3" ShapeID="_x0000_i1026" DrawAspect="Content" ObjectID="_1671631967" r:id="rId10"/>
              </w:object>
            </w:r>
            <w:r>
              <w:rPr>
                <w:sz w:val="28"/>
                <w:szCs w:val="28"/>
              </w:rPr>
              <w:t>С</w:t>
            </w:r>
          </w:p>
        </w:tc>
      </w:tr>
      <w:tr w:rsidR="004A3A85" w:rsidTr="004A3A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position w:val="-4"/>
                <w:sz w:val="28"/>
                <w:szCs w:val="28"/>
              </w:rPr>
              <w:object w:dxaOrig="135" w:dyaOrig="300">
                <v:shape id="_x0000_i1027" type="#_x0000_t75" style="width:6.75pt;height:15pt" o:ole="">
                  <v:imagedata r:id="rId11" o:title=""/>
                </v:shape>
                <o:OLEObject Type="Embed" ProgID="Equation.3" ShapeID="_x0000_i1027" DrawAspect="Content" ObjectID="_1671631968" r:id="rId12"/>
              </w:object>
            </w:r>
            <w:r>
              <w:rPr>
                <w:sz w:val="28"/>
                <w:szCs w:val="28"/>
              </w:rPr>
              <w:t>С.</w:t>
            </w:r>
          </w:p>
        </w:tc>
      </w:tr>
      <w:tr w:rsidR="004A3A85" w:rsidTr="004A3A85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на капиллярной колонке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 атм.</w:t>
            </w:r>
          </w:p>
        </w:tc>
      </w:tr>
      <w:tr w:rsidR="004A3A85" w:rsidTr="004A3A85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газ 1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 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4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газ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воздуха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4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водорода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</w:tr>
      <w:tr w:rsidR="004A3A85" w:rsidTr="004A3A85">
        <w:trPr>
          <w:trHeight w:val="46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–  без деления потока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A85" w:rsidTr="004A3A85">
        <w:trPr>
          <w:trHeight w:val="1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анализа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 мин.</w:t>
            </w:r>
          </w:p>
        </w:tc>
      </w:tr>
    </w:tbl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Параметры прибора для проведения анализа задаются, исходя из вида используемой хроматографической системы, которые удовлетворяют критериям настоящей методики.</w:t>
      </w:r>
    </w:p>
    <w:p w:rsidR="004A3A85" w:rsidRDefault="004A3A85" w:rsidP="004A3A85">
      <w:pPr>
        <w:pStyle w:val="2"/>
        <w:tabs>
          <w:tab w:val="left" w:pos="0"/>
          <w:tab w:val="left" w:pos="26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3A85" w:rsidRDefault="004A3A85" w:rsidP="004A3A85">
      <w:pPr>
        <w:pStyle w:val="2"/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Отбор проб</w:t>
      </w:r>
    </w:p>
    <w:p w:rsidR="004A3A85" w:rsidRDefault="004A3A85" w:rsidP="004A3A85">
      <w:pPr>
        <w:pStyle w:val="2"/>
        <w:tabs>
          <w:tab w:val="left" w:pos="0"/>
          <w:tab w:val="left" w:pos="360"/>
        </w:tabs>
        <w:ind w:left="0" w:firstLine="0"/>
        <w:jc w:val="both"/>
        <w:rPr>
          <w:sz w:val="28"/>
          <w:szCs w:val="28"/>
        </w:rPr>
      </w:pPr>
    </w:p>
    <w:p w:rsidR="004A3A85" w:rsidRDefault="004A3A85" w:rsidP="004A3A85">
      <w:pPr>
        <w:pStyle w:val="2"/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Отбор, транспортировку и хранение биологических объектов для проведения химико-токсикологических исследований на наличие этилового спирта проводят в соответствии с рекомендациями «Методика судебно-медицинского исследования трупа при отравлениях», ЦСЭ МЮ РК, г. Астана, протокол №2 от 5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и иными нормативными актами, актуальными на момент исследования.</w:t>
      </w:r>
    </w:p>
    <w:p w:rsidR="004A3A85" w:rsidRDefault="004A3A85" w:rsidP="004A3A85">
      <w:pPr>
        <w:pStyle w:val="2"/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A85" w:rsidRDefault="004A3A85" w:rsidP="004A3A85">
      <w:pPr>
        <w:pStyle w:val="2"/>
        <w:tabs>
          <w:tab w:val="left" w:pos="0"/>
          <w:tab w:val="left" w:pos="360"/>
        </w:tabs>
        <w:ind w:left="0"/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Подготовка к выполнению измерений</w:t>
      </w: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выполнением измерений проводят следующие работы: подготовку прибора, приготовление растворов, проверку параметров разделения, установление градуировочной характеристики, контроль стабильности градуировочной характеристики.</w:t>
      </w:r>
    </w:p>
    <w:p w:rsidR="004A3A85" w:rsidRDefault="004A3A85" w:rsidP="004A3A85">
      <w:pPr>
        <w:numPr>
          <w:ilvl w:val="1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прибора.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газохроматографической системы проводят в соответствии с эксплуатационной документацией на оборудование.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 Приготовление растворов.</w:t>
      </w:r>
    </w:p>
    <w:p w:rsidR="004A3A85" w:rsidRDefault="004A3A85" w:rsidP="004A3A85">
      <w:p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9.2.1 Приготовление водного раствора пропанола-1(внутренний стандарт) с массовой концентрацией 1,0‰ (промилле).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мерную колбу вместимостью 100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примерно на 2/3 заполненную дистиллированной водой, добавляют 0,124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пропанола-1 (по 4.6.), доводят водой до метки и перемешивают.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9.2.2 Водный раствор метанола, этанола, пропанола-1, пропанола-2, ацетона с массовой концентрацией 0,5‰ (промилле).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мерную колбу вместимостью 100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примерно на 2/3 заполненную дистиллированной водой, добавляют по 0,05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метанола (по 4.4), этанола (по 4.8), пропанола-1 (по 4.6), пропанола-2 (по 4.5), ацетона (по 4.7), доводят водой до метки и перемешивают.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9.2.3 Градуировочные растворы этилового спирта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9.2.3.1 Водный раствор этанола с массовой концентрацией 1,0%.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приготовления раствора используют этиловый спирт (исходный раствор) (по 4.8), ареометром измеряют объемную концентрацию этанола в исходном растворе. Из алкоголеметрической таблицы (см. приложение 1) по объемной концентрации в исходном растворе определяют массовую концентрацию С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и плотность раствора ρ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 Массовая концентрация С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=1% раствора этанола, плотность раствора ρ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=0,9964.  Рассчитывают объем исходного раствора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, необходимый для приготовления 1% раствора этанола в объеме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= 500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по формуле (1):</w:t>
      </w:r>
    </w:p>
    <w:p w:rsidR="004A3A85" w:rsidRDefault="004A3A85" w:rsidP="004A3A85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position w:val="-30"/>
          <w:sz w:val="28"/>
          <w:szCs w:val="28"/>
        </w:rPr>
        <w:object w:dxaOrig="1695" w:dyaOrig="705">
          <v:shape id="_x0000_i1028" type="#_x0000_t75" style="width:84.75pt;height:35.25pt" o:ole="">
            <v:imagedata r:id="rId13" o:title=""/>
          </v:shape>
          <o:OLEObject Type="Embed" ProgID="Equation.3" ShapeID="_x0000_i1028" DrawAspect="Content" ObjectID="_1671631969" r:id="rId14"/>
        </w:objec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(1)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Пипеткой вместимостью 10 мл (по 4.12), переносят рассчитанный объем V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исходного раствора в колбу и доводят дистиллированной водой до 500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9.2.3.2 Приготовление 0,15‰, 0,3‰, 1‰, 2‰, 4‰ и 6‰ (промилле) растворов этанола.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Необходимый объем 1% раствора этанола, приготовленного по 9.2.3.1 переносят пипетками соответствующего номинала в мерные колбы емкостью 50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доводят дистиллированной водой до метки. Приготовление растворов производят в соответствии с данными указанными в таблице 3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182"/>
        <w:gridCol w:w="3304"/>
      </w:tblGrid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Приготавливаемая</w:t>
            </w:r>
          </w:p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Концентрация,  </w:t>
            </w:r>
          </w:p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‰ (промилле)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исходного </w:t>
            </w:r>
          </w:p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раствора (по 9.2.3.1), см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Ёмкость пипетки, см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(переносят в 2 приема)</w:t>
            </w:r>
          </w:p>
        </w:tc>
      </w:tr>
      <w:tr w:rsidR="004A3A85" w:rsidTr="004A3A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85" w:rsidRDefault="004A3A85">
            <w:pPr>
              <w:tabs>
                <w:tab w:val="left" w:pos="0"/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(переносят в 3 приема</w:t>
            </w:r>
          </w:p>
        </w:tc>
      </w:tr>
    </w:tbl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9.2.4 Контрольный раствор этанола.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качестве контрольного раствора используют один из растворов указанный в п. 9.2.3.2 с массовой концентрацией этанола в диапазоне 0,15-6,0‰ (промилле).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9.2.5 Фоновая проба.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фоновой пробы используют дистиллированную воду, для анализа берут 0,5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проводят измерение как с реальным образцом крови или мочи. </w:t>
      </w:r>
    </w:p>
    <w:p w:rsidR="004A3A85" w:rsidRDefault="004A3A85" w:rsidP="004A3A85">
      <w:pPr>
        <w:rPr>
          <w:sz w:val="28"/>
          <w:szCs w:val="28"/>
        </w:rPr>
      </w:pPr>
      <w:r>
        <w:rPr>
          <w:sz w:val="28"/>
          <w:szCs w:val="28"/>
        </w:rPr>
        <w:t xml:space="preserve">     9.2.6 Условия хранения.</w:t>
      </w:r>
    </w:p>
    <w:p w:rsidR="004A3A85" w:rsidRDefault="004A3A85" w:rsidP="004A3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условии заполнения емкостей не менее чем на 2/3, плотной закупорки и содержания при температуре 4 – 6 °С срок хранения растворов составляет не более 14 дней.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9.3 Проверка параметров разделения.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9.3.1 Идентификация компонентов.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С целью идентификации метанола, этанола, пропанола-1, пропанола-2, ацетона проводят анализ смеси этих компонентов. Для этого в виалы вместимостью 20 см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вносят 0,5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раствора смеси компонентов (по 9.2.2) и </w:t>
      </w:r>
      <w:r>
        <w:rPr>
          <w:sz w:val="28"/>
          <w:szCs w:val="28"/>
        </w:rPr>
        <w:lastRenderedPageBreak/>
        <w:t>5,0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дистиллированной воды, герметично укупоривают и исследуют. Регистрируют хроматограммы, с помощью программного обеспечения определяют время удерживания. Время удерживания компонентов может варьироваться в зависимости от свойств конкретной колонки и скорости потока газа-носителя, но порядок выхода пиков остается неизменным. Примерные значения времени удерживания определяемых компонентов указаны в приложении 2.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Хроматограммы выполненные в данном пункте используют для определения степени разделения (9.3.2) и для оценки эффективности хроматографической колонки (9.3.3).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9.3.2 Определение степени разделения.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Степень разделения (Rs) соседних пиков рассчитывают по формуле (2)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position w:val="-30"/>
          <w:sz w:val="28"/>
          <w:szCs w:val="28"/>
        </w:rPr>
        <w:object w:dxaOrig="1755" w:dyaOrig="795">
          <v:shape id="_x0000_i1029" type="#_x0000_t75" style="width:87.75pt;height:39.75pt" o:ole="">
            <v:imagedata r:id="rId15" o:title=""/>
          </v:shape>
          <o:OLEObject Type="Embed" ProgID="Equation.3" ShapeID="_x0000_i1029" DrawAspect="Content" ObjectID="_1671631970" r:id="rId16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(2)</w:t>
      </w:r>
    </w:p>
    <w:p w:rsidR="004A3A85" w:rsidRDefault="004A3A85" w:rsidP="004A3A85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 xml:space="preserve">R </w:t>
      </w:r>
      <w:r>
        <w:rPr>
          <w:sz w:val="28"/>
          <w:szCs w:val="28"/>
        </w:rPr>
        <w:t xml:space="preserve">– время удерживания компонента, мин;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 xml:space="preserve">0.5 </w:t>
      </w:r>
      <w:r>
        <w:rPr>
          <w:sz w:val="28"/>
          <w:szCs w:val="28"/>
        </w:rPr>
        <w:t>– ширина пика на половине высоты, мин; индексы «а» и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 относятся к двум соседним пикам.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Коэффициент степени разделения (Rs) соседних пиков должен составлять не менее 1,5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9.3.3 Эффективности хроматографической колонки.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Эффективности хроматографической колонки выражается через число теоретических тарелок (N). Рассчитывается для этанола по формуле (3)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</w:t>
      </w:r>
      <w:r>
        <w:rPr>
          <w:position w:val="-32"/>
          <w:sz w:val="28"/>
          <w:szCs w:val="28"/>
        </w:rPr>
        <w:object w:dxaOrig="1875" w:dyaOrig="795">
          <v:shape id="_x0000_i1030" type="#_x0000_t75" style="width:93.75pt;height:39.75pt" o:ole="">
            <v:imagedata r:id="rId17" o:title=""/>
          </v:shape>
          <o:OLEObject Type="Embed" ProgID="Equation.3" ShapeID="_x0000_i1030" DrawAspect="Content" ObjectID="_1671631971" r:id="rId18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 xml:space="preserve">                                     (3)</w:t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center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tR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время удерживания этанола, мин;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 xml:space="preserve">0.5 </w:t>
      </w:r>
      <w:r>
        <w:rPr>
          <w:sz w:val="28"/>
          <w:szCs w:val="28"/>
        </w:rPr>
        <w:t>– ширина пика на половине высоты, мин.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Число теоретических тарелок (N) должно составлять не менее 1500.</w:t>
      </w:r>
    </w:p>
    <w:p w:rsidR="004A3A85" w:rsidRDefault="004A3A85" w:rsidP="004A3A85">
      <w:pPr>
        <w:numPr>
          <w:ilvl w:val="1"/>
          <w:numId w:val="6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градуировочной характеристики.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установления градуировочной характеристики проводят последовательно анализ не менее 4-х градуировочных растворов образцов, равномерно охватывающих диапазон измерений.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Градуировку начинают с раствора с наименьшей концентрацией. Анализ каждого раствора выполняют не менее 2-х раз. Расхождение между результатами параллельных определений должно удовлетворять условию приемлемости п. 11</w:t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коэффициента градуировочной характеристики, относительного среднего квадратического отклонения (ОСКО), коэффициента корреляции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 выполняют с помощью системы обработки данных.</w:t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Градуировочную характеристику, выражающую зависимость массовой концентрации этанола от площади пика, обрабатывают методом наименьших квадратов, используя функцию вида (формула 4)</w:t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</w:t>
      </w:r>
      <w:r>
        <w:rPr>
          <w:position w:val="-10"/>
          <w:sz w:val="28"/>
          <w:szCs w:val="28"/>
        </w:rPr>
        <w:object w:dxaOrig="1620" w:dyaOrig="420">
          <v:shape id="_x0000_i1031" type="#_x0000_t75" style="width:81pt;height:21pt" o:ole="">
            <v:imagedata r:id="rId19" o:title=""/>
          </v:shape>
          <o:OLEObject Type="Embed" ProgID="Equation.3" ShapeID="_x0000_i1031" DrawAspect="Content" ObjectID="_1671631972" r:id="rId20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  <w:t xml:space="preserve">                                            (4) </w:t>
      </w:r>
    </w:p>
    <w:p w:rsidR="004A3A85" w:rsidRDefault="004A3A85" w:rsidP="004A3A85">
      <w:pPr>
        <w:tabs>
          <w:tab w:val="left" w:pos="0"/>
          <w:tab w:val="left" w:pos="360"/>
          <w:tab w:val="left" w:pos="57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 x=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as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is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as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is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as</w:t>
      </w:r>
      <w:r>
        <w:rPr>
          <w:sz w:val="28"/>
          <w:szCs w:val="28"/>
        </w:rPr>
        <w:t xml:space="preserve">-площадь пика этанола;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is</w:t>
      </w:r>
      <w:r>
        <w:rPr>
          <w:sz w:val="28"/>
          <w:szCs w:val="28"/>
        </w:rPr>
        <w:t xml:space="preserve">- площадь пика внутреннего стандарта (пропанол-1);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as</w:t>
      </w:r>
      <w:r>
        <w:rPr>
          <w:sz w:val="28"/>
          <w:szCs w:val="28"/>
        </w:rPr>
        <w:t xml:space="preserve">-массовая концентрация этанола в градуировочном растворе, ‰ (промилле);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is</w:t>
      </w:r>
      <w:r>
        <w:rPr>
          <w:sz w:val="28"/>
          <w:szCs w:val="28"/>
        </w:rPr>
        <w:t xml:space="preserve">- массовая концентрация внутреннего стандарта (пропанол-1), ‰ (промилле); а – коэффициент относительной чувствительности;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-отрезок, отсекаемый на оси «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».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Градуировочную зависимость считают приемлемой, если значение ОСКО коэффициента градуировочной характеристики не превышает 2%, а значение коэффициента корреляции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≥0,99.</w:t>
      </w:r>
    </w:p>
    <w:p w:rsidR="004A3A85" w:rsidRDefault="004A3A85" w:rsidP="004A3A85">
      <w:p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9.5 Контроль стабильности градуировочной характеристики.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Стабильность градуировочной характеристики проверяют непосредственно перед анализом рабочих проб, а также периодически через 25-30 анализов. При этом используют контрольный раствор этанола (9.2.4), который анализируют в точном соответствии с методикой.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Градуировочную характеристику считают стабильной, если для контрольного раствора выполняется условие (формула 5)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14"/>
          <w:sz w:val="28"/>
          <w:szCs w:val="28"/>
        </w:rPr>
        <w:object w:dxaOrig="2175" w:dyaOrig="405">
          <v:shape id="_x0000_i1032" type="#_x0000_t75" style="width:108.75pt;height:20.25pt" o:ole="">
            <v:imagedata r:id="rId21" o:title=""/>
          </v:shape>
          <o:OLEObject Type="Embed" ProgID="Equation.3" ShapeID="_x0000_i1032" DrawAspect="Content" ObjectID="_1671631973" r:id="rId22"/>
        </w:object>
      </w:r>
      <w:r>
        <w:rPr>
          <w:sz w:val="28"/>
          <w:szCs w:val="28"/>
        </w:rPr>
        <w:t>,                                                      (5)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– результат измерений массовой концентрации этанола в контрольном растворе, ‰ (промилле); С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– номинальное (аттестованное) значение массовой концентрации этанола в контрольном растворе, ‰ (промилле).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условие стабильности не выполняется, то градуировку проводят заново, также градуировку проводят снова при замене внутреннего стандарта или изменении массовой концентрации раствора внутреннего стандарта или иных изменений условий.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Пробоподготовка и выполнение измерений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растворы и объекты исследования должны иметь комнатную температуру. Размораживание биобъектов, хранившейся в морозильной камере, также проводят при комнатной температуре.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дозирования. Перед дозированием биообъекта пробирку с ним несколько раз переворачивают до достижения гомогенности в течение 0,5мин. Биообъект и внутренний стандарт дозируют методом обратного пипетирования, после чего флакон энергично встряхивают.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измерений массовой концентрации этилового спирта выполняют следующие операции.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 Каждую серию анализов начинают с анализа фоновой пробы (9.2.5) с целью выявления следов этанола в реактивах, используемой посуде и т.д. Содержание этанола в фоновой пробе не должно превышать 0,05‰ (промилле). В противном случае следует обнаружить источник загрязнения и устранить его.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10.2 Затем проводят анализ контрольного образца (9.2.4). Если результат анализа удовлетворяет условию приемлемости (9.5, формула 5), приступают к анализу проб. В противном случае </w:t>
      </w:r>
      <w:r>
        <w:rPr>
          <w:iCs/>
          <w:sz w:val="28"/>
          <w:szCs w:val="28"/>
        </w:rPr>
        <w:t>выясняют причины нестабильности градуировочной характеристики и повторяют контроль стабильности с использованием других образцов для установления градуировочной характеристики, предусмотренных методикой. При повторном обнаружении нестабильности градуировочной характеристики её устанавливают заново</w:t>
      </w:r>
      <w:r>
        <w:rPr>
          <w:sz w:val="28"/>
          <w:szCs w:val="28"/>
        </w:rPr>
        <w:t>, после чего снова проводят анализ контрольного раствора.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10.3 Измерение без внесения внутреннего стандарта (первое измерение).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виалы объемом 20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вносят по 5,0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дистиллированной воды, затем по 0,5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крови (мочи), герметично укупоривают и исследуют. На хроматограммах регистрируют наличие либо отсутствие пиков этанола и н-пропанола.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10.4 Измерение с внесения внутреннего стандарта (второе измерение).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виалы объемом 20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вносят по 5,0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дистиллированной воды, по 0,5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1‰ раствора пропанола-1 (внутренний стандарт), затем по 0,5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исследуемого биообъекта (крови или мочи), или контрольного раствора, или градуировочного раствора, или дистиллированной воды для фоновой пробы), герметично укупоривают и исследуют.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10.5 Виалы с исследуемыми растворами помещают в карусель парофазного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пробоотборника.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10.6 Оператор заполняет информационные поля в соответствии с программой обработки результатов анализа.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10.7 Регистрируют хроматограммы в соответствии с инструкцией к системе сбора и обработки данных.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10.8 Выполняют не менее 2-х параллельных определений исследуемого объекта.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Обработка результатов измерений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11.1 Расчет концентрации этанола в исследуемом образце выполняется автоматически с помощью системы сбора и обработки данных в соответствии с уравнением (формула 6):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2"/>
          <w:sz w:val="28"/>
          <w:szCs w:val="28"/>
        </w:rPr>
        <w:object w:dxaOrig="2880" w:dyaOrig="945">
          <v:shape id="_x0000_i1033" type="#_x0000_t75" style="width:2in;height:47.25pt" o:ole="">
            <v:imagedata r:id="rId23" o:title=""/>
          </v:shape>
          <o:OLEObject Type="Embed" ProgID="Equation.3" ShapeID="_x0000_i1033" DrawAspect="Content" ObjectID="_1671631974" r:id="rId24"/>
        </w:object>
      </w:r>
      <w:r>
        <w:rPr>
          <w:sz w:val="28"/>
          <w:szCs w:val="28"/>
        </w:rPr>
        <w:t>,                                             (6)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где Сх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массовая концентрация этанола в исследуемом образце крови (мочи), ‰ (промилле);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 xml:space="preserve">IS </w:t>
      </w:r>
      <w:r>
        <w:rPr>
          <w:sz w:val="28"/>
          <w:szCs w:val="28"/>
        </w:rPr>
        <w:t xml:space="preserve">- массовая концентрация внутреннего стандарта в исследуемом образце, ‰ (промилле);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</w:rPr>
        <w:t xml:space="preserve"> – площадь пика этанола в исследуемом образце;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IS</w:t>
      </w:r>
      <w:r>
        <w:rPr>
          <w:sz w:val="28"/>
          <w:szCs w:val="28"/>
        </w:rPr>
        <w:t xml:space="preserve"> – площадь пика внутреннего стандарта в исследуемом образце; а – коэффициент относительной чувствительности;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-отрезок, отсекаемый на оси «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».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11.2 За результат измерений принимают среднее арифметическое результатов двух параллельных определений, если выполняется условие приемлемости (формула 7):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2295" w:dyaOrig="735">
          <v:shape id="_x0000_i1034" type="#_x0000_t75" style="width:114.75pt;height:36.75pt" o:ole="">
            <v:imagedata r:id="rId25" o:title=""/>
          </v:shape>
          <o:OLEObject Type="Embed" ProgID="Equation.3" ShapeID="_x0000_i1034" DrawAspect="Content" ObjectID="_1671631975" r:id="rId26"/>
        </w:object>
      </w:r>
      <w:r>
        <w:rPr>
          <w:sz w:val="28"/>
          <w:szCs w:val="28"/>
        </w:rPr>
        <w:t>,                                                     (7)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bscript"/>
        </w:rPr>
        <w:t>х1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х2</w:t>
      </w:r>
      <w:r>
        <w:rPr>
          <w:sz w:val="28"/>
          <w:szCs w:val="28"/>
        </w:rPr>
        <w:t xml:space="preserve"> – результаты параллельных определений массовой концентрации этанола в образце, в ‰ (промилле); </w:t>
      </w:r>
      <w:r>
        <w:rPr>
          <w:sz w:val="28"/>
          <w:szCs w:val="28"/>
          <w:lang w:val="en-US"/>
        </w:rPr>
        <w:t xml:space="preserve">r </w:t>
      </w:r>
      <w:r>
        <w:rPr>
          <w:sz w:val="28"/>
          <w:szCs w:val="28"/>
        </w:rPr>
        <w:t xml:space="preserve">– значение предела повторяемости, составляет 10%, в диапазоне концентраций 0,15-6,0‰ (промилле),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,% Р=0,95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=2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11.3 Если условие п. 11.2, формула 7 не выполняется, получают еще два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результата в полном соответствии с данной методикой измерений. За результат измерений принимают среднее арифметическое значение результатов четырех определений, если выполняется условие (формула 8):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3120" w:dyaOrig="735">
          <v:shape id="_x0000_i1035" type="#_x0000_t75" style="width:156pt;height:36.75pt" o:ole="">
            <v:imagedata r:id="rId27" o:title=""/>
          </v:shape>
          <o:OLEObject Type="Embed" ProgID="Equation.3" ShapeID="_x0000_i1035" DrawAspect="Content" ObjectID="_1671631976" r:id="rId28"/>
        </w:objec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(8)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xmax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 xml:space="preserve">xmin </w:t>
      </w:r>
      <w:r>
        <w:rPr>
          <w:sz w:val="28"/>
          <w:szCs w:val="28"/>
        </w:rPr>
        <w:t xml:space="preserve">– максимальное и минимальное значения из полученных четырех результатов параллельных определений массовой концентрации этанола в образце, в ‰ (промилле); </w:t>
      </w:r>
      <w:r>
        <w:rPr>
          <w:sz w:val="28"/>
          <w:szCs w:val="28"/>
          <w:lang w:val="kk-KZ"/>
        </w:rPr>
        <w:t>С</w:t>
      </w:r>
      <w:r>
        <w:rPr>
          <w:sz w:val="28"/>
          <w:szCs w:val="28"/>
          <w:vertAlign w:val="subscript"/>
        </w:rPr>
        <w:t>х1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>х2,</w:t>
      </w:r>
      <w:r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vertAlign w:val="subscript"/>
        </w:rPr>
        <w:t>х3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bscript"/>
        </w:rPr>
        <w:t xml:space="preserve">х4 - </w:t>
      </w:r>
      <w:r>
        <w:rPr>
          <w:sz w:val="28"/>
          <w:szCs w:val="28"/>
        </w:rPr>
        <w:t xml:space="preserve">результаты параллельных определений массовой концентрации этанола в образце, в ‰ (промилле);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vertAlign w:val="subscript"/>
        </w:rPr>
        <w:t xml:space="preserve">0.95 </w:t>
      </w:r>
      <w:r>
        <w:rPr>
          <w:sz w:val="28"/>
          <w:szCs w:val="28"/>
        </w:rPr>
        <w:t xml:space="preserve">– значение критического диапазона, составляет 14%, для уровня вероятности Р=0,95,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=4.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условие п. 11.3, формула 8 не выполняется, выясняют причины превышения критического диапазона, устраняют их и повторяют выполнение измерений в соответствии с требованиями методики измерений.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Контроль качества результатов измерений при реализации методики в лаборатории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качества результатов измерений в лаборатории при реализации методики осуществляют в соответствии с требованиями ГОСТ Р ИСО 5725-6 и РМГ 76 ГСИ.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превышении оперативного контроля погрешности эксперимент повторяют. При повторном превышении указанного норматива выясняют причины, приводящие к неудовлетворительным результатам контроля, и их устраняют.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Заключение</w:t>
      </w:r>
    </w:p>
    <w:p w:rsidR="004A3A85" w:rsidRDefault="004A3A85" w:rsidP="004A3A85">
      <w:pPr>
        <w:tabs>
          <w:tab w:val="left" w:pos="0"/>
          <w:tab w:val="left" w:pos="360"/>
        </w:tabs>
        <w:ind w:left="360"/>
        <w:jc w:val="both"/>
        <w:rPr>
          <w:sz w:val="28"/>
          <w:szCs w:val="28"/>
        </w:rPr>
      </w:pPr>
    </w:p>
    <w:p w:rsidR="004A3A85" w:rsidRDefault="004A3A85" w:rsidP="004A3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цифровых данных о количественном содержании этилового спирта следует учитывать: возможное влияние продуктов гнилостного разложения биологических объектов на результаты определения; присутствие экзогенного н-пропанола. Методика не предназначена для измерений массовой концентрации этанола в пробах крови, мочи, водных растворов этанола, если в пробах обнаружен н-пропанол. </w:t>
      </w:r>
    </w:p>
    <w:p w:rsidR="004A3A85" w:rsidRDefault="004A3A85" w:rsidP="004A3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этилового спирта в количестве менее 0,1‰ следует указывать об не обнаружении этилового спирта.</w:t>
      </w:r>
    </w:p>
    <w:p w:rsidR="004A3A85" w:rsidRDefault="004A3A85" w:rsidP="004A3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обнаружении этилового спирта в количестве менее 0,15‰ следует указывать о наличии этилового спирта (без указания конкретной концентрации) - «обнаружен этиловый спирт в концентрации менее 0,15‰»</w:t>
      </w:r>
    </w:p>
    <w:p w:rsidR="004A3A85" w:rsidRDefault="004A3A85" w:rsidP="004A3A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этилового спирта в количестве более 6,0‰ следует указывать об обнаружении этилового спирта в концентрации более 6,0‰ (без указания конкретной концентрации). – «обнаружен этиловый спирт в концентрации более 6,0‰». Однако, в случае необходимости в даче результата, если наименьшее значение массовой концентрации этанола находится в диапазоне от 6‰, проводят повторный анализ разбавленного образца, при этом учитывают степень его разбавления. 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  <w:t>Список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использованных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источников</w:t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Сопин Д.С., Захарченко Н.В. «Обнаружение этанола в крови и моче методом статического парофазного газохромтографического анализа». Проблемы экспертизы в медицине, 2014, № 2-3 (54-55), с. 38-39</w:t>
      </w:r>
    </w:p>
    <w:p w:rsidR="004A3A85" w:rsidRDefault="004A3A85" w:rsidP="004A3A85">
      <w:pPr>
        <w:jc w:val="both"/>
        <w:rPr>
          <w:sz w:val="28"/>
          <w:szCs w:val="28"/>
        </w:rPr>
      </w:pPr>
      <w:r>
        <w:rPr>
          <w:sz w:val="28"/>
          <w:szCs w:val="28"/>
        </w:rPr>
        <w:t>2. С.А. Савчук, А.Н. Веденин «Обнаружение и количественное определение летучих токсичных веществ и гликолей в биологических объектах методами газовой хроматографии и хромато-масс-спектрометрии». Пособие для врачей клинической лабораторной диагностике. М.,2003</w:t>
      </w:r>
    </w:p>
    <w:p w:rsidR="004A3A85" w:rsidRDefault="004A3A85" w:rsidP="004A3A85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Методика измерений массовой концентрации низкомолекулярных спиртов и ацетона в водных растворах, крови и моче методом парофазной газовой хроматографии с термостатированием. М</w:t>
      </w:r>
      <w:r>
        <w:rPr>
          <w:sz w:val="28"/>
          <w:szCs w:val="28"/>
          <w:lang w:val="en-US"/>
        </w:rPr>
        <w:t>., 2017</w:t>
      </w:r>
    </w:p>
    <w:p w:rsidR="004A3A85" w:rsidRDefault="004A3A85" w:rsidP="004A3A85">
      <w:pPr>
        <w:jc w:val="both"/>
        <w:rPr>
          <w:sz w:val="28"/>
          <w:szCs w:val="28"/>
        </w:rPr>
      </w:pPr>
      <w:r>
        <w:rPr>
          <w:sz w:val="28"/>
          <w:szCs w:val="28"/>
        </w:rPr>
        <w:t>4. Государственная фармакопея СССР – Изд. 10-е. – М.:Медицина, 1968</w:t>
      </w:r>
    </w:p>
    <w:p w:rsidR="004A3A85" w:rsidRDefault="004A3A85" w:rsidP="004A3A85">
      <w:pPr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L"/>
        </w:smartTagPr>
        <w:r>
          <w:rPr>
            <w:sz w:val="28"/>
            <w:szCs w:val="28"/>
          </w:rPr>
          <w:t>5</w:t>
        </w:r>
        <w:r>
          <w:rPr>
            <w:sz w:val="28"/>
            <w:szCs w:val="28"/>
            <w:lang w:val="en-US"/>
          </w:rPr>
          <w:t>. L</w:t>
        </w:r>
      </w:smartTag>
      <w:r>
        <w:rPr>
          <w:sz w:val="28"/>
          <w:szCs w:val="28"/>
          <w:lang w:val="en-US"/>
        </w:rPr>
        <w:t xml:space="preserve">. Kristoffersen, L-E. Stormyhr, A.  Smith-Kielland. Headspace gas chromatographic determination of ethanol: the use of factorial design to study effects of blood storage and headspace conditions on ethanol stability and acetaldehyde formation in whole blood and plasma. Forensic Sci Int.  161:  151-157 (2006). </w:t>
      </w:r>
    </w:p>
    <w:p w:rsidR="004A3A85" w:rsidRDefault="004A3A85" w:rsidP="004A3A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. Zelda Penton. Headspace Measurement of Ethanol in Bloodby Gas Chromatographywith a Modified Autosample. CLIN. CHEM. 31/3, 439-441 (1985)</w:t>
      </w:r>
    </w:p>
    <w:p w:rsidR="004A3A85" w:rsidRDefault="004A3A85" w:rsidP="004A3A85">
      <w:pPr>
        <w:spacing w:line="360" w:lineRule="auto"/>
        <w:jc w:val="both"/>
        <w:rPr>
          <w:lang w:val="en-US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rPr>
          <w:sz w:val="28"/>
          <w:szCs w:val="28"/>
          <w:lang w:val="en-US"/>
        </w:rPr>
      </w:pPr>
    </w:p>
    <w:p w:rsidR="004A3A85" w:rsidRDefault="004A3A85" w:rsidP="004A3A85">
      <w:pPr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pStyle w:val="2"/>
        <w:tabs>
          <w:tab w:val="left" w:pos="0"/>
        </w:tabs>
        <w:ind w:left="0" w:firstLine="0"/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360"/>
        </w:tabs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360"/>
        </w:tabs>
        <w:ind w:left="360"/>
        <w:jc w:val="both"/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6075"/>
        </w:tabs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6075"/>
        </w:tabs>
        <w:rPr>
          <w:sz w:val="28"/>
          <w:szCs w:val="28"/>
          <w:lang w:val="en-US"/>
        </w:rPr>
      </w:pPr>
    </w:p>
    <w:p w:rsidR="004A3A85" w:rsidRDefault="004A3A85" w:rsidP="004A3A85">
      <w:pPr>
        <w:tabs>
          <w:tab w:val="left" w:pos="6075"/>
        </w:tabs>
        <w:rPr>
          <w:sz w:val="28"/>
          <w:szCs w:val="28"/>
          <w:lang w:val="en-US"/>
        </w:rPr>
      </w:pPr>
    </w:p>
    <w:p w:rsidR="002F2B77" w:rsidRDefault="002F2B77"/>
    <w:sectPr w:rsidR="002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1F" w:rsidRDefault="0069451F" w:rsidP="004A3A85">
      <w:r>
        <w:separator/>
      </w:r>
    </w:p>
  </w:endnote>
  <w:endnote w:type="continuationSeparator" w:id="0">
    <w:p w:rsidR="0069451F" w:rsidRDefault="0069451F" w:rsidP="004A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1F" w:rsidRDefault="0069451F" w:rsidP="004A3A85">
      <w:r>
        <w:separator/>
      </w:r>
    </w:p>
  </w:footnote>
  <w:footnote w:type="continuationSeparator" w:id="0">
    <w:p w:rsidR="0069451F" w:rsidRDefault="0069451F" w:rsidP="004A3A85">
      <w:r>
        <w:continuationSeparator/>
      </w:r>
    </w:p>
  </w:footnote>
  <w:footnote w:id="1">
    <w:p w:rsidR="004A3A85" w:rsidRDefault="004A3A85" w:rsidP="004A3A85">
      <w:pPr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rStyle w:val="a5"/>
        </w:rPr>
        <w:footnoteRef/>
      </w:r>
      <w:r>
        <w:t xml:space="preserve"> Примечание. </w:t>
      </w:r>
      <w:r>
        <w:rPr>
          <w:i/>
          <w:sz w:val="28"/>
          <w:szCs w:val="28"/>
        </w:rPr>
        <w:t>В качестве градуировочных растворов приоритет в использовании отдают ГСО (аттестованным растворам) состава водных растворов этанола, с массовой концентрацией от 0,15 до 6,0 мг/см</w:t>
      </w:r>
      <w:r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>, с относительной погрешностью ±1%, при Р=0,95.</w:t>
      </w:r>
    </w:p>
    <w:p w:rsidR="004A3A85" w:rsidRDefault="004A3A85" w:rsidP="004A3A8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D1"/>
    <w:multiLevelType w:val="multilevel"/>
    <w:tmpl w:val="293427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</w:lvl>
  </w:abstractNum>
  <w:abstractNum w:abstractNumId="1" w15:restartNumberingAfterBreak="0">
    <w:nsid w:val="33E1696B"/>
    <w:multiLevelType w:val="multilevel"/>
    <w:tmpl w:val="E924920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4154071E"/>
    <w:multiLevelType w:val="hybridMultilevel"/>
    <w:tmpl w:val="E5245B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B48DD66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8A6657"/>
    <w:multiLevelType w:val="multilevel"/>
    <w:tmpl w:val="C7CEA0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62E11CCC"/>
    <w:multiLevelType w:val="multilevel"/>
    <w:tmpl w:val="E6BC53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5" w15:restartNumberingAfterBreak="0">
    <w:nsid w:val="7F0C417E"/>
    <w:multiLevelType w:val="multilevel"/>
    <w:tmpl w:val="6730F4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C"/>
    <w:rsid w:val="002F2B77"/>
    <w:rsid w:val="004A3A85"/>
    <w:rsid w:val="0069451F"/>
    <w:rsid w:val="007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2AC6-3A49-4969-AA7A-786316A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3A8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2"/>
    <w:basedOn w:val="a"/>
    <w:semiHidden/>
    <w:unhideWhenUsed/>
    <w:rsid w:val="004A3A85"/>
    <w:pPr>
      <w:ind w:left="566" w:hanging="283"/>
    </w:pPr>
    <w:rPr>
      <w:sz w:val="20"/>
      <w:szCs w:val="20"/>
    </w:rPr>
  </w:style>
  <w:style w:type="paragraph" w:styleId="20">
    <w:name w:val="Body Text 2"/>
    <w:basedOn w:val="a"/>
    <w:link w:val="21"/>
    <w:semiHidden/>
    <w:unhideWhenUsed/>
    <w:rsid w:val="004A3A85"/>
    <w:pPr>
      <w:spacing w:after="120" w:line="480" w:lineRule="auto"/>
      <w:ind w:firstLine="706"/>
      <w:jc w:val="both"/>
    </w:pPr>
  </w:style>
  <w:style w:type="character" w:customStyle="1" w:styleId="21">
    <w:name w:val="Основной текст 2 Знак"/>
    <w:basedOn w:val="a0"/>
    <w:link w:val="20"/>
    <w:semiHidden/>
    <w:rsid w:val="004A3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4A3A8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4A3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4A3A85"/>
    <w:rPr>
      <w:vertAlign w:val="superscript"/>
    </w:rPr>
  </w:style>
  <w:style w:type="character" w:customStyle="1" w:styleId="apple-converted-space">
    <w:name w:val="apple-converted-space"/>
    <w:rsid w:val="004A3A8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3947</Words>
  <Characters>22501</Characters>
  <Application>Microsoft Office Word</Application>
  <DocSecurity>0</DocSecurity>
  <Lines>187</Lines>
  <Paragraphs>52</Paragraphs>
  <ScaleCrop>false</ScaleCrop>
  <Company/>
  <LinksUpToDate>false</LinksUpToDate>
  <CharactersWithSpaces>26396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2021-01-08T11:26:00Z</dcterms:created>
  <dcterms:modified xsi:type="dcterms:W3CDTF">2021-01-08T11:26:00Z</dcterms:modified>
</cp:coreProperties>
</file>