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before="0" w:after="0"/>
        <w:ind w:left="11340" w:hanging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</w:rPr>
        <w:t>Утвержд</w:t>
      </w:r>
      <w:r>
        <w:rPr>
          <w:rFonts w:cs="Times New Roman" w:ascii="Times New Roman" w:hAnsi="Times New Roman"/>
          <w:sz w:val="24"/>
          <w:szCs w:val="24"/>
          <w:lang w:val="kk-KZ"/>
        </w:rPr>
        <w:t>ен приказом</w:t>
      </w:r>
    </w:p>
    <w:p>
      <w:pPr>
        <w:pStyle w:val="Normal"/>
        <w:keepNext w:val="true"/>
        <w:keepLines/>
        <w:spacing w:before="0" w:after="0"/>
        <w:ind w:left="1134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И.о.Руководителя аппарата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keepNext w:val="true"/>
        <w:keepLines/>
        <w:spacing w:before="0" w:after="0"/>
        <w:ind w:left="1134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Министерства юстиции</w:t>
      </w:r>
    </w:p>
    <w:p>
      <w:pPr>
        <w:pStyle w:val="Normal"/>
        <w:keepNext w:val="true"/>
        <w:keepLines/>
        <w:spacing w:before="0" w:after="0"/>
        <w:ind w:left="11340" w:hanging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</w:rPr>
        <w:t>Республики Казахстан</w:t>
      </w:r>
    </w:p>
    <w:p>
      <w:pPr>
        <w:pStyle w:val="Normal"/>
        <w:keepNext w:val="true"/>
        <w:keepLines/>
        <w:spacing w:before="0" w:after="0"/>
        <w:ind w:left="1134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01 </w:t>
      </w:r>
      <w:r>
        <w:rPr>
          <w:rFonts w:cs="Times New Roman" w:ascii="Times New Roman" w:hAnsi="Times New Roman"/>
          <w:sz w:val="24"/>
          <w:szCs w:val="24"/>
        </w:rPr>
        <w:t>февраля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  <w:lang w:val="kk-KZ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года </w:t>
      </w:r>
      <w:r>
        <w:rPr>
          <w:rFonts w:cs="Times New Roman" w:ascii="Times New Roman" w:hAnsi="Times New Roman"/>
          <w:sz w:val="24"/>
          <w:szCs w:val="24"/>
          <w:lang w:val="kk-KZ"/>
        </w:rPr>
        <w:t>№_80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kk-KZ"/>
        </w:rPr>
        <w:t>_</w:t>
      </w:r>
    </w:p>
    <w:p>
      <w:pPr>
        <w:pStyle w:val="3"/>
        <w:spacing w:lineRule="auto" w:line="276" w:before="0" w:after="0"/>
        <w:jc w:val="center"/>
        <w:rPr>
          <w:rFonts w:ascii="Times New Roman" w:hAnsi="Times New Roman"/>
          <w:color w:val="auto"/>
          <w:sz w:val="27"/>
          <w:szCs w:val="27"/>
          <w:lang w:val="kk-KZ"/>
        </w:rPr>
      </w:pPr>
      <w:r>
        <w:rPr>
          <w:rFonts w:ascii="Times New Roman" w:hAnsi="Times New Roman"/>
          <w:sz w:val="28"/>
          <w:szCs w:val="28"/>
        </w:rPr>
        <w:t>Операционный план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kk-K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Министерства юстиции Республики Казахстан на 20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kk-KZ"/>
        </w:rPr>
        <w:t>23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год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     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Раздел 1. Мероприятия государственного органа</w:t>
      </w:r>
    </w:p>
    <w:tbl>
      <w:tblPr>
        <w:tblW w:w="15532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4a0" w:noHBand="0" w:noVBand="1" w:firstColumn="1" w:lastRow="0" w:lastColumn="0" w:firstRow="1"/>
      </w:tblPr>
      <w:tblGrid>
        <w:gridCol w:w="720"/>
        <w:gridCol w:w="14"/>
        <w:gridCol w:w="16"/>
        <w:gridCol w:w="4583"/>
        <w:gridCol w:w="39"/>
        <w:gridCol w:w="1684"/>
        <w:gridCol w:w="84"/>
        <w:gridCol w:w="9"/>
        <w:gridCol w:w="15"/>
        <w:gridCol w:w="24"/>
        <w:gridCol w:w="40"/>
        <w:gridCol w:w="17"/>
        <w:gridCol w:w="2535"/>
        <w:gridCol w:w="9"/>
        <w:gridCol w:w="7"/>
        <w:gridCol w:w="29"/>
        <w:gridCol w:w="23"/>
        <w:gridCol w:w="13"/>
        <w:gridCol w:w="11"/>
        <w:gridCol w:w="141"/>
        <w:gridCol w:w="2174"/>
        <w:gridCol w:w="11"/>
        <w:gridCol w:w="13"/>
        <w:gridCol w:w="34"/>
        <w:gridCol w:w="43"/>
        <w:gridCol w:w="31"/>
        <w:gridCol w:w="106"/>
        <w:gridCol w:w="3054"/>
        <w:gridCol w:w="21"/>
        <w:gridCol w:w="30"/>
      </w:tblGrid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Код бюджетной программы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Форма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завершения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>I. Мероприятие по достижению целей и целевых индикаторов стратегического плана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Стратегическое направление 1. Правовое обеспечение деятельности государства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 xml:space="preserve">Макроиндикаторы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1. Индекс верховенства закона (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 xml:space="preserve">Rule of Law Index,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 xml:space="preserve"> «The World Justice Project»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638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совместно с государственными органами разъяснительные материалы</w:t>
            </w:r>
          </w:p>
        </w:tc>
        <w:tc>
          <w:tcPr>
            <w:tcW w:w="1768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8" w:type="dxa"/>
            <w:gridSpan w:val="10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ДПП, структурные подразделения</w:t>
            </w:r>
          </w:p>
        </w:tc>
        <w:tc>
          <w:tcPr>
            <w:tcW w:w="2397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  <w:tc>
          <w:tcPr>
            <w:tcW w:w="3255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курирующему Вице-министру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S1"/>
                <w:rFonts w:cs="Times New Roman"/>
                <w:sz w:val="28"/>
                <w:szCs w:val="28"/>
              </w:rPr>
              <w:t xml:space="preserve">Цель 1.1.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Совершенствование национального законодательства, а также правовое обеспечение деятельности Казахстана на международной арене в целях защиты его национальных интересов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Целевые индикаторы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 xml:space="preserve">, взаимоувязанный с бюджетными программами: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1.1.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kk-KZ"/>
              </w:rPr>
              <w:t>1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Доля цифровизации нормотворческого процесса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функционала в части разработки законодательных актов</w:t>
            </w:r>
          </w:p>
        </w:tc>
        <w:tc>
          <w:tcPr>
            <w:tcW w:w="1816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825" w:type="dxa"/>
            <w:gridSpan w:val="10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ДПП, ДЦИАГУ</w:t>
            </w:r>
          </w:p>
        </w:tc>
        <w:tc>
          <w:tcPr>
            <w:tcW w:w="2412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3105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системы «Е-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Заңнама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промышленную эксплуатацию</w:t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1.1.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</w:rPr>
              <w:t>Доля согласованных Министерством юстиции нормативных правовых указов Президента Республики Казахстан и нормативных правовых постановлений Правительства Республики Казахстан, измененных либо отмененных на основании постановлений Конституционного 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val="kk-KZ"/>
              </w:rPr>
              <w:t>уда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</w:rPr>
              <w:t>, актов прокурорского надзора и решений судов (от общего количества согласованных проектов за отчетный период)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Анализ замечаний Министерства юстиции по проектам Указов Президента и постановлений Правительства Республики Казахстан, поступившим на юридическую экспертизу за 9 месяцев 2023 года</w:t>
            </w:r>
          </w:p>
        </w:tc>
        <w:tc>
          <w:tcPr>
            <w:tcW w:w="1777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47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ДПА</w:t>
            </w:r>
          </w:p>
        </w:tc>
        <w:tc>
          <w:tcPr>
            <w:tcW w:w="2391" w:type="dxa"/>
            <w:gridSpan w:val="6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3292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Информация курирующему Вице-министру юстиции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1.1.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3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Доля нормативных правовых актов, зарегистрированных органами юстиции Республики Казахстан в отчетном периоде, в отношении которых были внесены обоснованные акты прокурорского надзора (протесты, представления) в связи с  некачественным проведением юридической экспертизы при государственной регистрации (от общего количества зарегистрированных нормативных правовых актов за отчетный период)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Style w:val="S0"/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Анализ замечаний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 xml:space="preserve"> Министерства юстиции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по результатам юридической экспертизы нормативных правовых актов центральных государственных органов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br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2-ое полугодие 2022 года</w:t>
            </w:r>
          </w:p>
        </w:tc>
        <w:tc>
          <w:tcPr>
            <w:tcW w:w="1873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16" w:type="dxa"/>
            <w:gridSpan w:val="6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ДРНПА</w:t>
            </w:r>
          </w:p>
        </w:tc>
        <w:tc>
          <w:tcPr>
            <w:tcW w:w="2427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321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Информация курирующему Вице-министру юстиции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с последующим направлением в центральные государственные органы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Анализ замечаний Министерства юстиции по результатам юридической экспертизы нормативных правовых актов центральных государственных органов за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br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1-ое полугодие 2023 года</w:t>
            </w:r>
          </w:p>
        </w:tc>
        <w:tc>
          <w:tcPr>
            <w:tcW w:w="1873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16" w:type="dxa"/>
            <w:gridSpan w:val="6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ДРНПА</w:t>
            </w:r>
          </w:p>
        </w:tc>
        <w:tc>
          <w:tcPr>
            <w:tcW w:w="2427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21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Информация курирующему Вице-министру юстиции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 xml:space="preserve">с последующим направлением в центральные государственные органы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1.1.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4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Style21"/>
              <w:widowControl w:val="false"/>
              <w:pBdr>
                <w:bottom w:val="single" w:sz="4" w:space="7" w:color="FFFFFF"/>
              </w:pBdr>
              <w:tabs>
                <w:tab w:val="clear" w:pos="708"/>
                <w:tab w:val="left" w:pos="0" w:leader="none"/>
              </w:tabs>
              <w:spacing w:before="0" w:after="0"/>
              <w:ind w:left="0" w:hanging="0"/>
              <w:rPr>
                <w:rFonts w:ascii="Times New Roman" w:hAnsi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Доля рекомендаций, полученных по итогам проведения фундаментальных и прикладных научных исследований, нашедших отражение в нормативных правовых актах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Style21"/>
              <w:widowControl w:val="false"/>
              <w:pBdr>
                <w:bottom w:val="single" w:sz="4" w:space="7" w:color="FFFFFF"/>
              </w:pBdr>
              <w:tabs>
                <w:tab w:val="clear" w:pos="708"/>
                <w:tab w:val="left" w:pos="0" w:leader="none"/>
              </w:tabs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Проведение научных мероприятий по подведению итогов фундаментальных и научный прикладных исследований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08" w:type="dxa"/>
            <w:gridSpan w:val="10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ИЗ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ПИ</w:t>
            </w:r>
          </w:p>
        </w:tc>
        <w:tc>
          <w:tcPr>
            <w:tcW w:w="2447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3211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Информация курирующему Вице-министру юстиции, размещение информации на интернет-ресурсе ИЗПИ</w:t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1.1.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Доля международных договоров и проектов международных договоров, в которых учтены рекомендации научной правовой экспертизы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семинара с участием сотрудников юридических служб заинтересованных государственных органов по вопросам заключения и исполнения  международных договоров Евразийского экономического союза и влияния актов органов Евразийского экономического союза на формирование национального законодательства Республики Казахстан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ДЭПМЭИ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Информация курирующему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Вице-министру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юстиции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семинара с участием сотрудников юридических служб заинтересованных государственных органов по вопросам заключения, исполнения и денонсации международных договоров.  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 w:eastAsia="en-US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ДМПКРОПЧ  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Информация курирующему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Вице-министру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юстиции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Обеспечение проведения научной правовой экспертизы международных договоров и проектов международных договоров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006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ДМПКРОПЧ,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ДЭПМЭИ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мере поступления проектов международных договоров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выполненных работ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Стратегическое направление 2. Обеспечение реализации прав граждан и организаций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Макроиндикаторы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Доля ненаблюдаемой (теневой) экономки в операциях с недвижимым имуществом, % от ВВП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13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Проведение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праворазъяснительной работы в сфере 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егистрации прав на недвижимое имущество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</w:r>
          </w:p>
        </w:tc>
        <w:tc>
          <w:tcPr>
            <w:tcW w:w="1855" w:type="dxa"/>
            <w:gridSpan w:val="6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01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ДРСиОЮУ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ДЮ гг.Астаны, Алматы, Шымкента и областей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8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по итогам года </w:t>
            </w:r>
          </w:p>
        </w:tc>
        <w:tc>
          <w:tcPr>
            <w:tcW w:w="3302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Информация курирующему Вице-министру юстиции (протоколы, статьи и т.д.)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S1"/>
                <w:rFonts w:cs="Times New Roman"/>
                <w:sz w:val="28"/>
                <w:szCs w:val="28"/>
              </w:rPr>
              <w:t xml:space="preserve">Цель 2.1.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Совершенствование судебно-экспертной деятельности до уровня международных стандартов аккредитации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Целев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ые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индикатор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ы, взаимоувязанные с бюджетными программами: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2.1.1.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Уровень качества производства судебных экспертиз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производства повторных экспертиз</w:t>
            </w:r>
          </w:p>
        </w:tc>
        <w:tc>
          <w:tcPr>
            <w:tcW w:w="1684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0" w:type="dxa"/>
            <w:gridSpan w:val="9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ДОЭД, ЦСЭ</w:t>
            </w:r>
          </w:p>
        </w:tc>
        <w:tc>
          <w:tcPr>
            <w:tcW w:w="2415" w:type="dxa"/>
            <w:gridSpan w:val="8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юль- декабрь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курирующему Вице-министру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новых и усовершенствование существующих методик судебно-экспертных исследований</w:t>
            </w:r>
          </w:p>
        </w:tc>
        <w:tc>
          <w:tcPr>
            <w:tcW w:w="1684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065</w:t>
            </w:r>
          </w:p>
        </w:tc>
        <w:tc>
          <w:tcPr>
            <w:tcW w:w="2740" w:type="dxa"/>
            <w:gridSpan w:val="9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ДОЭД, ЦСЭ</w:t>
            </w:r>
          </w:p>
        </w:tc>
        <w:tc>
          <w:tcPr>
            <w:tcW w:w="2415" w:type="dxa"/>
            <w:gridSpan w:val="8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курирующему Вице-министру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2.1.2.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Доля судебных экспертов и среднего медицинского персонала, прошедших повышение квалификации   от их общего количества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научно-практических семинаров по актуальным вопросам: судебных экспертиз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065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ДОЭД, ЦСЭ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курирующему Вице-министру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обучения судебных экспертов в высших учебных заведениях либо в центрах повышении квалификации Республики Казахстан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ДОЭД, ЦСЭ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курирующему Вице-министру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обучения судебно-медицинских экспертов и среднего медицинского персонала в высших учебных заведениях либо в центрах повышении квалификации Республики Казахстан 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ДОЭД, ЦСЭ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курирующему Вице-министру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S1"/>
                <w:rFonts w:cs="Times New Roman"/>
                <w:sz w:val="28"/>
                <w:szCs w:val="28"/>
              </w:rPr>
              <w:t xml:space="preserve">Цель 2.2.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Повышение эффективности исполнения судебных актов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Целев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ые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индикатор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ы, взаимоувязанные с бюджетными программами: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2.2.1.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Доля исполнительных документов, исполненных в полном объеме, от общего   количества оконченных исполнительных производств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совещаний 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br/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 территориальными органами юстиции посредством видеоконференцсвязи по вопросам   достижения  целевых индикаторов  Плана  развития Министерства юстиции МЮ РК на 2023-2027 годы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ДПИ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По итогам полугодия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Анализ  по исполнению    судебных актов о взыскании в доход государства 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ДПИ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курирующему Вице-министру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val="kk-KZ"/>
              </w:rPr>
              <w:t>2.2.2.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Доля оконченных исполнительных производств от общего количества, находящихся на исполнении исполнительных  производств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Проведение  совещания с территориальными органами юстиции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посредством видеоконференцсвязи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по  исполнению  социально-значимых категорий дел 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ДПИ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Р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екомендации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Анализ по достижению целевых индикаторов за  2023 год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ДПИ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До 10 января 2024 года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 курирующему  Вице-министру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"/>
                <w:rFonts w:cs="Times New Roman"/>
                <w:sz w:val="28"/>
                <w:szCs w:val="28"/>
              </w:rPr>
              <w:t>Цель 2.3.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Обеспечение реализации прав граждан на получение квалифицированной юридической помощи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Целев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>ые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индикатор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>ы, взаимоувязанные с бюджетными программами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2.3.1.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Увеличение объема оказания гражданам гарантированной государством юридической помощи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Информация по итогам организации гарантированной государством юридической помощи через информационную систему «Е-заң көмегі» за 1 полугодие 2023 года</w:t>
            </w:r>
          </w:p>
        </w:tc>
        <w:tc>
          <w:tcPr>
            <w:tcW w:w="1856" w:type="dxa"/>
            <w:gridSpan w:val="6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ДРСиОЮУ,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ДЮ гг.Астаны, Алматы, Шымкента и областей</w:t>
            </w:r>
          </w:p>
        </w:tc>
        <w:tc>
          <w:tcPr>
            <w:tcW w:w="2508" w:type="dxa"/>
            <w:gridSpan w:val="1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21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Информация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курирующему 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76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 xml:space="preserve">Сводная информация ТОЮ по оказанию  ГГЮП за 2022-2023 гг. с учетом расходов по 005 программе «Оказание юридической помощи адвокатами» </w:t>
            </w:r>
          </w:p>
        </w:tc>
        <w:tc>
          <w:tcPr>
            <w:tcW w:w="1856" w:type="dxa"/>
            <w:gridSpan w:val="6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ДРСиОЮУ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,                     ДЮ гг.Астаны, Алматы, Шымкента и областей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08" w:type="dxa"/>
            <w:gridSpan w:val="1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 xml:space="preserve">июль, декабрь </w:t>
            </w:r>
          </w:p>
        </w:tc>
        <w:tc>
          <w:tcPr>
            <w:tcW w:w="321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Информация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курирующему 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22.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Информирование населения о возможности получения ГГЮП, организация в СМИ  ТОЮ выступлений, статей</w:t>
            </w:r>
          </w:p>
        </w:tc>
        <w:tc>
          <w:tcPr>
            <w:tcW w:w="1856" w:type="dxa"/>
            <w:gridSpan w:val="6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ДРСиОЮУ,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ДЮ гг.Астаны, Алматы, Шымкента и областей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КА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2508" w:type="dxa"/>
            <w:gridSpan w:val="1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321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Статьи, выступления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2.3.2.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Доля удовлетворенных граждан из оценивших справочно-консультационную услугу с использованием информационных справочных систем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удовлетворенности мониторинга 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удовлетворённости граждан, оценивших справочно-консультационную услугу Правовой информационной службы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009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ИЗПИ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по итогам полугодия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курирующему Вице-министру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"/>
                <w:rFonts w:cs="Times New Roman"/>
                <w:sz w:val="28"/>
                <w:szCs w:val="28"/>
              </w:rPr>
              <w:t>Цель 2.4.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Обеспечение благоприятных условий охраны и защиты прав интеллектуальной собственности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Целев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>ые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индикатор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>ы, взаимоувязанные с бюджетными программами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2.4.1.</w:t>
            </w:r>
          </w:p>
        </w:tc>
        <w:tc>
          <w:tcPr>
            <w:tcW w:w="14750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ind w:right="125" w:hanging="0"/>
              <w:jc w:val="both"/>
              <w:rPr>
                <w:rFonts w:ascii="Times New Roman" w:hAnsi="Times New Roman"/>
                <w:i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Доля вступивших в силу решений апелляционного совета, не отмененных решением суда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Проведение ежегодной Республиканской акции «Контрафакт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001 107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ДИС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Информация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на интернет-ресурсе Министерства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60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Проведение мероприятий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  <w:br/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 международными и общественными  организациями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 вопросам охраны и защиты прав на объекты интеллектуальной собственности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ДИС, НИИС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2, 3,4-кварталы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Информация курирующему Вице-министру юстиции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60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26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Проведение праворазъяснительной работы в сфере интеллектуальной собственности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НИИС 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по итогам полугодия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Информация курирующему Вице-министру юстиции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60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27.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Проведение анализа деятельности апелляционного совета МЮ РК за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ДИС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декабрь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Информация курирующему Вице-министру юстиции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60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Проведение обобщения информации  территориальных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 xml:space="preserve"> органов юстиции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по административным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право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нарушениям по незаконному использованию чужого товарного знака, знаков обслуживания или наименования места происхождения товара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ДИС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декабрь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Информация курирующему Вице-министру юстиции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00" w:type="dxa"/>
            <w:gridSpan w:val="2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</w:rPr>
              <w:t xml:space="preserve">II. Мероприятие для решения иных задач определенных положением государственного органа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57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Обеспечение проведения научной экспертизы проектов законов, поступаюших на юридическую экспертизу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006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ДЗ, ДПП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мере поступления законопроектов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firstLine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Акт выполненных работ</w:t>
            </w:r>
          </w:p>
          <w:p>
            <w:pPr>
              <w:pStyle w:val="Normal"/>
              <w:spacing w:before="0" w:after="0"/>
              <w:ind w:firstLine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57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suppressAutoHyphens w:val="true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Обеспечение проведения научной лингвистической экспертизы проектов законов, а также международных договоров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006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ДЗ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ДМПКРОПЧ, ДЭПМЭИ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мере поступления проектов 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firstLine="13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Акт выполненных работ</w:t>
            </w:r>
          </w:p>
          <w:p>
            <w:pPr>
              <w:pStyle w:val="Normal"/>
              <w:spacing w:before="0" w:after="0"/>
              <w:ind w:firstLine="13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57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Обеспечение научно-исследовательской работы при  разработке консультативных документов регуляторной политики и проектов законодательных актов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006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ДЗ,ДПП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мере поступления законопроектов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firstLine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Акт выполненных работ</w:t>
            </w:r>
          </w:p>
          <w:p>
            <w:pPr>
              <w:pStyle w:val="Normal"/>
              <w:spacing w:before="0" w:after="0"/>
              <w:ind w:firstLine="13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57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Формирование отчета о реализации Плана развития Министерства юстиции Республики Казахстан на 2020-2024 годы по итогам 2022 года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ДСПи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ОАР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15 февраля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2023 года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отчета на интернет-ресурсе Министерства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73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2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Обеспечить проведение опросов на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веб-портал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«Открытого правительств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left="2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ind w:left="2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ДСО,</w:t>
            </w:r>
          </w:p>
          <w:p>
            <w:pPr>
              <w:pStyle w:val="Normal"/>
              <w:spacing w:before="0" w:after="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структурные подразделения, подведомственные организации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по итогам полугодия</w:t>
            </w:r>
          </w:p>
          <w:p>
            <w:pPr>
              <w:pStyle w:val="Normal"/>
              <w:spacing w:before="0" w:after="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Опросы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left="2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Обеспечить координацию работы интернет-конференций на веб-портале «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Открытого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правительств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ДС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before="0" w:after="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структурные подразделения, подведомственные организации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по итогам полугодия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Интернет-конференции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совместно со структурными подразделениями и территориальными органами юстиции встреч Министра с населением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ДС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before="0" w:after="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структурные подразделения, территориальные органы юстиции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Встреча министра с населением в регионах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Анализ протокольных поручений Министра и Дорожных карт министерства по направлениям деятельности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ДСПи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ОАР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Министру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Проведение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праворазъяснительной работы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касательно вынесения исполнительных надписей с учетом последних изменений в Законе «О нотариате»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ДРСиОЮУ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, РНП,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ДЮ гг.Астаны, Алматы, Шымкента и областей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КА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Информация курирующему Вице-министру юстиции</w:t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Проведение праворазъяснительной работы в сфере регистрации актов гражданского состояния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ДРСиОЮУ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ДЮ гг.Астаны, Алматы, Шымкента и областей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КА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k-KZ"/>
              </w:rPr>
              <w:t>Информация курирующему Вице-министру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38.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Внесение изменений и дополнений в План развития 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Министерства юстиции Республики Казахстан на 2023-2027 годы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ДСПи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ОАР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мере уточнения Республиканского бюджета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Министра юстиции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39.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мониторинга информационной системы проектного управления по исполнению проектов и задач Министерства юстиции РК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ДСПи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ОАР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по итогам полугодия 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Служебная записка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на имя рукводителей базовых направлений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40.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6" w:leader="none"/>
                <w:tab w:val="left" w:pos="1134" w:leader="none"/>
                <w:tab w:val="left" w:pos="1200" w:leader="none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мониторинга реализации документов Системы государственного планирования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ДСПи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ОАР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По итогам полугодия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Служебная записка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41.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6" w:leader="none"/>
                <w:tab w:val="left" w:pos="1134" w:leader="none"/>
                <w:tab w:val="left" w:pos="1200" w:leader="none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kk-KZ" w:eastAsia="en-US"/>
              </w:rPr>
              <w:t xml:space="preserve">Организация совещаний с территориальными органами юстиции по вопросам профилактики и предупреждения коррупции в органах юстиции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kk-KZ" w:eastAsia="en-US"/>
              </w:rPr>
              <w:t>(посредством видеоконференцсвязи, Zoom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ДпУП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по итогам полугодия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Руководителю аппарата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42.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6" w:leader="none"/>
                <w:tab w:val="left" w:pos="1134" w:leader="none"/>
                <w:tab w:val="left" w:pos="1200" w:leader="none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Анализ причин и условий, способствующих совершению коррупционных правонарушений в системе органов юстиции</w:t>
              <w:br/>
            </w:r>
            <w:r>
              <w:rPr>
                <w:rFonts w:eastAsia="Calibri" w:cs="Times New Roman" w:ascii="Times New Roman" w:hAnsi="Times New Roman"/>
                <w:i/>
                <w:lang w:eastAsia="en-US"/>
              </w:rPr>
              <w:t>(на основании вступивших в законную силу судебных актов, процессуальных документов органов досудебного расследования)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 выработкой рекомендаций по устранению причин и условий, способствовавших коррупционным проявлениям.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ДпУП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по итогам полугодия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Руководителю аппарата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43.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Анализ обращений поступивших в Министерство 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и территориальные органы юстиции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ДУДК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Информация Руководителю аппарата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7" w:hRule="atLeast"/>
        </w:trPr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44.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Проведение мониторинга на увеличение доли государственного языка в общем объеме  документооборота в целях увеличения качества делопроизводства на государственном языке в Министерстве 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ДУДК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ежеквартально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Информация Руководителю аппарата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45.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мониторинга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на обоснованность отказов в оказании государственных услуг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ДЦАГУ</w:t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курирующему Вице-министру юстиции</w:t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46.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kk-KZ" w:eastAsia="en-US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kk-KZ" w:eastAsia="en-US"/>
              </w:rPr>
              <w:t xml:space="preserve">Отчёт по контролю за состоянием информационной безопасности объекта информатизации (аудит и пентест Информационных систем, мониторинг обеспечения безопасного функционирования объекта) "электронного правительства", устранение уязвимостей восьми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kk-KZ" w:eastAsia="en-US"/>
              </w:rPr>
              <w:t>Информационных систем Министерства юстиции Республики Казахстан)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УИБ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По мере поступления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поступления письма от АО «ГТС»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Письмо в 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АО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«ГТС»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47.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kk-KZ"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Отчёт о работе по повышению уровня информационной безопасности МЮ РК согласно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kk-KZ" w:eastAsia="en-US"/>
              </w:rPr>
              <w:t>приказа и.о. Министра оборонной и аэрокосмической промышленности Республики Казахстан от 28 февраля 2018 года № 33/НҚ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УИБ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 января 2024 года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Письмо в МЦРИАП РК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48.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Выявление нарушений требований информационной безопасности и информирование руководства М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Ю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РК с выработкой рекомендаций по их устранению. </w:t>
            </w:r>
          </w:p>
        </w:tc>
        <w:tc>
          <w:tcPr>
            <w:tcW w:w="17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eastAsia="Consolas" w:cs="Times New Roman"/>
                <w:sz w:val="28"/>
                <w:szCs w:val="28"/>
              </w:rPr>
            </w:pPr>
            <w:r>
              <w:rPr>
                <w:rFonts w:eastAsia="Consolas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УИБ</w:t>
            </w:r>
          </w:p>
        </w:tc>
        <w:tc>
          <w:tcPr>
            <w:tcW w:w="23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до 10 января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2024 года</w:t>
            </w:r>
          </w:p>
        </w:tc>
        <w:tc>
          <w:tcPr>
            <w:tcW w:w="32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Служебная записка на имя Министра 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kk-K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     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Расшифровка аббревиатур: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ДСП</w:t>
      </w:r>
      <w:r>
        <w:rPr>
          <w:rFonts w:cs="Times New Roman" w:ascii="Times New Roman" w:hAnsi="Times New Roman"/>
          <w:sz w:val="28"/>
          <w:szCs w:val="28"/>
          <w:lang w:val="kk-KZ"/>
        </w:rPr>
        <w:t>иОАР</w:t>
      </w:r>
      <w:r>
        <w:rPr>
          <w:rFonts w:cs="Times New Roman" w:ascii="Times New Roman" w:hAnsi="Times New Roman"/>
          <w:sz w:val="28"/>
          <w:szCs w:val="28"/>
        </w:rPr>
        <w:t xml:space="preserve"> – Департамент стратегического планирования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  организационно-аналитической работы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ДЗ – Департамент законодательства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ДПП – Департамент правовой политики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ДПА – Департамент подзаконных актов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ДРНПА – Департамент регистрации нормативных правовых актов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ДМПКРОПЧ – Департамент международного права и  координации работы в области прав человека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ДЭПМЭИ – Департамент экспертизы проектов по международной экономической интеграции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ДРСиОЮУ – Департамент регистрационной службы и оказания юридических услуг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 – Департамент по правам интеллектуальной собственности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ДПИ – Департамент принудительного исполнения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ДУДК – Департамент учета документов и контроля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ДпУП – Департамент по управлению персоналом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ДОЭД – Департамент организации экспертной деятельности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ДЦиАГУ – Департамент цифровизации и автоматизации государственных услуг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УИБ – Управление информационной безопасности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ЦСЭ – </w:t>
      </w:r>
      <w:r>
        <w:rPr>
          <w:rFonts w:cs="Times New Roman" w:ascii="Times New Roman" w:hAnsi="Times New Roman"/>
          <w:sz w:val="28"/>
          <w:szCs w:val="28"/>
          <w:lang w:val="kk-KZ"/>
        </w:rPr>
        <w:t>РГКП</w:t>
      </w:r>
      <w:r>
        <w:rPr>
          <w:rFonts w:cs="Times New Roman" w:ascii="Times New Roman" w:hAnsi="Times New Roman"/>
          <w:sz w:val="28"/>
          <w:szCs w:val="28"/>
        </w:rPr>
        <w:t xml:space="preserve"> «Центр судебн</w:t>
      </w:r>
      <w:r>
        <w:rPr>
          <w:rFonts w:cs="Times New Roman" w:ascii="Times New Roman" w:hAnsi="Times New Roman"/>
          <w:sz w:val="28"/>
          <w:szCs w:val="28"/>
          <w:lang w:val="kk-KZ"/>
        </w:rPr>
        <w:t>ых</w:t>
      </w:r>
      <w:r>
        <w:rPr>
          <w:rFonts w:cs="Times New Roman" w:ascii="Times New Roman" w:hAnsi="Times New Roman"/>
          <w:sz w:val="28"/>
          <w:szCs w:val="28"/>
        </w:rPr>
        <w:t xml:space="preserve"> экспертиз Министерства юстиции Республики Казахстан»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НИИС – РГП «Национальный институт интеллектуальной собственности»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ИЗ</w:t>
      </w:r>
      <w:r>
        <w:rPr>
          <w:rFonts w:cs="Times New Roman" w:ascii="Times New Roman" w:hAnsi="Times New Roman"/>
          <w:sz w:val="28"/>
          <w:szCs w:val="28"/>
          <w:lang w:val="kk-KZ"/>
        </w:rPr>
        <w:t>ПИ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kk-KZ"/>
        </w:rPr>
        <w:t>РГП на ПХВ</w:t>
      </w:r>
      <w:r>
        <w:rPr>
          <w:rFonts w:cs="Times New Roman" w:ascii="Times New Roman" w:hAnsi="Times New Roman"/>
          <w:sz w:val="28"/>
          <w:szCs w:val="28"/>
        </w:rPr>
        <w:t xml:space="preserve"> «Институт законодательства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 правовой информации</w:t>
      </w:r>
      <w:r>
        <w:rPr>
          <w:rFonts w:cs="Times New Roman" w:ascii="Times New Roman" w:hAnsi="Times New Roman"/>
          <w:sz w:val="28"/>
          <w:szCs w:val="28"/>
        </w:rPr>
        <w:t xml:space="preserve"> Республики Казахстан»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РНП – Республиканская нотариальная палата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ТОЮ – Территориальные органы юстиции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КА – Коллегия адвокатов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f4a2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14324e"/>
    <w:pPr>
      <w:keepNext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color w:val="00000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uiPriority w:val="99"/>
    <w:qFormat/>
    <w:rsid w:val="00ba5fab"/>
    <w:rPr>
      <w:rFonts w:ascii="Times New Roman" w:hAnsi="Times New Roman"/>
      <w:b/>
      <w:color w:val="000000"/>
      <w:sz w:val="16"/>
      <w:u w:val="none"/>
      <w:effect w:val="none"/>
    </w:rPr>
  </w:style>
  <w:style w:type="character" w:styleId="S0" w:customStyle="1">
    <w:name w:val="s0"/>
    <w:uiPriority w:val="99"/>
    <w:qFormat/>
    <w:rsid w:val="00ba5fab"/>
    <w:rPr>
      <w:rFonts w:ascii="Times New Roman" w:hAnsi="Times New Roman"/>
      <w:color w:val="000000"/>
      <w:sz w:val="16"/>
      <w:u w:val="none"/>
      <w:effect w:val="none"/>
    </w:rPr>
  </w:style>
  <w:style w:type="character" w:styleId="Style12" w:customStyle="1">
    <w:name w:val="Без интервала Знак"/>
    <w:basedOn w:val="DefaultParagraphFont"/>
    <w:link w:val="a3"/>
    <w:uiPriority w:val="1"/>
    <w:qFormat/>
    <w:locked/>
    <w:rsid w:val="00ae08d1"/>
    <w:rPr>
      <w:rFonts w:ascii="Calibri" w:hAnsi="Calibri" w:eastAsia="Times New Roman" w:cs="Times New Roman"/>
    </w:rPr>
  </w:style>
  <w:style w:type="character" w:styleId="Style13" w:customStyle="1">
    <w:name w:val="Обычный (веб) Знак"/>
    <w:link w:val="a5"/>
    <w:uiPriority w:val="99"/>
    <w:qFormat/>
    <w:locked/>
    <w:rsid w:val="0014324e"/>
    <w:rPr>
      <w:rFonts w:ascii="Times New Roman" w:hAnsi="Times New Roman" w:eastAsia="Times New Roman" w:cs="Times New Roman"/>
      <w:sz w:val="24"/>
      <w:szCs w:val="20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4324e"/>
    <w:rPr>
      <w:rFonts w:ascii="Cambria" w:hAnsi="Cambria" w:eastAsia="Times New Roman" w:cs="Times New Roman"/>
      <w:b/>
      <w:bCs/>
      <w:color w:val="000000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5f4a2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16397f"/>
    <w:rPr>
      <w:rFonts w:ascii="Times New Roman" w:hAnsi="Times New Roman" w:cs="Times New Roman"/>
      <w:sz w:val="26"/>
      <w:szCs w:val="20"/>
    </w:rPr>
  </w:style>
  <w:style w:type="character" w:styleId="Style14" w:customStyle="1">
    <w:name w:val="Основной текст с отступом Знак"/>
    <w:basedOn w:val="DefaultParagraphFont"/>
    <w:link w:val="a7"/>
    <w:uiPriority w:val="99"/>
    <w:qFormat/>
    <w:rsid w:val="000c141d"/>
    <w:rPr>
      <w:rFonts w:ascii="Calibri" w:hAnsi="Calibri" w:eastAsia="Calibri" w:cs="Times New Roman"/>
      <w:lang w:eastAsia="en-US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b52fc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link w:val="a4"/>
    <w:uiPriority w:val="1"/>
    <w:qFormat/>
    <w:rsid w:val="00ae08d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link w:val="a6"/>
    <w:uiPriority w:val="99"/>
    <w:qFormat/>
    <w:rsid w:val="001432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0"/>
    </w:rPr>
  </w:style>
  <w:style w:type="paragraph" w:styleId="BodyText2">
    <w:name w:val="Body Text 2"/>
    <w:basedOn w:val="Normal"/>
    <w:link w:val="20"/>
    <w:uiPriority w:val="99"/>
    <w:qFormat/>
    <w:rsid w:val="0016397f"/>
    <w:pPr>
      <w:spacing w:lineRule="auto" w:line="240" w:before="0" w:after="0"/>
      <w:jc w:val="both"/>
    </w:pPr>
    <w:rPr>
      <w:rFonts w:ascii="Times New Roman" w:hAnsi="Times New Roman" w:cs="Times New Roman"/>
      <w:sz w:val="26"/>
      <w:szCs w:val="20"/>
    </w:rPr>
  </w:style>
  <w:style w:type="paragraph" w:styleId="Style21">
    <w:name w:val="Body Text Indent"/>
    <w:basedOn w:val="Normal"/>
    <w:link w:val="a8"/>
    <w:uiPriority w:val="99"/>
    <w:unhideWhenUsed/>
    <w:rsid w:val="000c141d"/>
    <w:pPr>
      <w:spacing w:before="0" w:after="120"/>
      <w:ind w:left="283" w:hanging="0"/>
      <w:jc w:val="both"/>
    </w:pPr>
    <w:rPr>
      <w:rFonts w:ascii="Calibri" w:hAnsi="Calibri" w:eastAsia="Calibri" w:cs="Times New Roman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52f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565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10815"/>
    <w:pPr>
      <w:spacing w:after="0" w:line="240" w:lineRule="auto"/>
      <w:jc w:val="both"/>
    </w:pPr>
    <w:rPr>
      <w:rFonts w:eastAsiaTheme="minorHAnsi"/>
      <w:lang w:eastAsia="en-US"/>
      <w:sz w:val="28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F82B-D271-41DD-9B0F-AFDEA4D3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7</Pages>
  <Words>580</Words>
  <Characters>4470</Characters>
  <CharactersWithSpaces>5000</CharactersWithSpaces>
  <Paragraphs>121</Paragraphs>
  <Company>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2023-02-07T12:25:00Z</dcterms:created>
  <dc:creator>Администратор</dc:creator>
  <dc:description/>
  <dc:language>ru-RU</dc:language>
  <cp:lastModifiedBy>Тавлютова Шынар Михайловна</cp:lastModifiedBy>
  <cp:lastPrinted>2022-04-14T10:46:00Z</cp:lastPrinted>
  <dcterms:modified xsi:type="dcterms:W3CDTF">2023-02-07T12:25:00Z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