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750" w:vertAnchor="page" w:tblpY="1278" w:leftFromText="180" w:topFromText="0" w:rightFromText="180" w:bottomFromText="0"/>
        <w:tblW w:w="102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34"/>
        <w:gridCol w:w="216"/>
        <w:gridCol w:w="1218"/>
        <w:gridCol w:w="23"/>
        <w:gridCol w:w="1200"/>
        <w:gridCol w:w="35"/>
        <w:gridCol w:w="1050"/>
        <w:gridCol w:w="69"/>
        <w:gridCol w:w="1248"/>
        <w:gridCol w:w="10"/>
        <w:gridCol w:w="1468"/>
        <w:gridCol w:w="216"/>
      </w:tblGrid>
      <w:tr>
        <w:trPr>
          <w:trHeight w:val="68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института судебной экспертизы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restart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материалов, поступивших</w:t>
            </w:r>
            <w:r/>
          </w:p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для исследования на экспертизу</w:t>
            </w:r>
            <w:r/>
          </w:p>
        </w:tc>
        <w:tc>
          <w:tcPr>
            <w:shd w:val="clear" w:color="000000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выполненных экспертиз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0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категориям дел</w:t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0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уголовным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гражданским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btLr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  <w:lang w:eastAsia="ru-RU"/>
              </w:rPr>
              <w:t xml:space="preserve">по адм. правонарушениям</w:t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НПЦСЭ</w:t>
            </w:r>
            <w:r/>
          </w:p>
        </w:tc>
        <w:tc>
          <w:tcPr>
            <w:gridSpan w:val="3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18770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17075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16523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521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iCs w:val="0"/>
                <w:sz w:val="16"/>
                <w:szCs w:val="18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0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МЦСЭ ЮВР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26983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25670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18972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1561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5137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Акмолинской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5331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5068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4332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187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549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Актюбинский межрегиональный ЦСЭ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9194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8740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7654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686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ЛСЭ по Алматинской области (Конаев)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3733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3607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2978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602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469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Атырауской области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5597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5325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4452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335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538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677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области Абай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6063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5722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4544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414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764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sz w:val="16"/>
              </w:rPr>
            </w:r>
            <w:r/>
          </w:p>
        </w:tc>
      </w:tr>
      <w:tr>
        <w:trPr>
          <w:trHeight w:val="34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Восточно-Казахстанской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9320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8954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8009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431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514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2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Жамбылской области</w:t>
            </w:r>
            <w:r/>
          </w:p>
        </w:tc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11449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11129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8647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452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2030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42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ЛСЭ по области Жетісу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4126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  <w:t xml:space="preserve">4004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3301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640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trHeight w:val="3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Западно-Казахстанской области</w:t>
            </w:r>
            <w:r/>
          </w:p>
        </w:tc>
        <w:tc>
          <w:tcPr>
            <w:gridSpan w:val="3"/>
            <w:shd w:val="clear" w:color="000000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5996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5630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5075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191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364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tcW w:w="216" w:type="dxa"/>
            <w:textDirection w:val="lrTb"/>
            <w:noWrap w:val="false"/>
          </w:tcPr>
          <w:p>
            <w:pPr>
              <w:pStyle w:val="811"/>
              <w:jc w:val="left"/>
              <w:spacing w:before="0" w:after="200" w:line="276" w:lineRule="auto"/>
              <w:widowControl/>
            </w:pPr>
            <w:r/>
            <w:r/>
          </w:p>
        </w:tc>
      </w:tr>
      <w:tr>
        <w:trPr>
          <w:gridAfter w:val="1"/>
          <w:trHeight w:val="4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МЦСЭ ЦР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13425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12878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10381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366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2131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33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Костанайской области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8390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8240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6608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374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1258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188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Кызылординской области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8780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8310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5690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273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2347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23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Мангистауской области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6903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6318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4993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192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1133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370"/>
        </w:trPr>
        <w:tc>
          <w:tcPr>
            <w:shd w:val="clear" w:color="000000" w:fill="ffffff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Павлодарской области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8981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8718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7269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357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1092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2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Северо-Казахстанской области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4748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4675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3702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596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377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1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Туркестанской области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4783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4672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3583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177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912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2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ИСЭ по г.Шымкент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22102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color w:val="auto"/>
                <w:sz w:val="16"/>
                <w:szCs w:val="16"/>
                <w:lang w:val="ru-RU" w:bidi="ar-SA" w:eastAsia="ru-RU"/>
              </w:rPr>
              <w:t xml:space="preserve">21624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14083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842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6699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3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ЛСЭ по области Ұлытау</w:t>
            </w: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16"/>
                <w:szCs w:val="16"/>
              </w:rPr>
              <w:t xml:space="preserve">1966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Cs/>
                <w:sz w:val="16"/>
                <w:szCs w:val="16"/>
                <w:lang w:eastAsia="ru-RU"/>
              </w:rPr>
              <w:t xml:space="preserve">1909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1482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16"/>
              </w:rPr>
              <w:t xml:space="preserve">427</w:t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</w:tr>
      <w:tr>
        <w:trPr>
          <w:gridAfter w:val="1"/>
          <w:trHeight w:val="37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34" w:type="dxa"/>
            <w:vAlign w:val="center"/>
            <w:textDirection w:val="lrTb"/>
            <w:noWrap w:val="false"/>
          </w:tcPr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ВСЕГО:</w:t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21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spacing w:before="0" w:after="200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</w:rPr>
            </w:r>
            <w:r/>
          </w:p>
        </w:tc>
        <w:tc>
          <w:tcPr>
            <w:shd w:val="clear" w:color="000000" w:fill="ffffff"/>
            <w:tcBorders>
              <w:bottom w:val="single" w:color="000000" w:sz="4" w:space="0"/>
              <w:right w:val="single" w:color="000000" w:sz="4" w:space="0"/>
            </w:tcBorders>
            <w:tcW w:w="12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  <w:t xml:space="preserve">186640</w:t>
            </w: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b/>
              </w:rPr>
            </w:r>
          </w:p>
        </w:tc>
        <w:tc>
          <w:tcPr>
            <w:gridSpan w:val="3"/>
            <w:shd w:val="clear" w:color="000000" w:fill="ffff00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  <w:t xml:space="preserve">178268</w:t>
            </w: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b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  <w:t xml:space="preserve">142278</w:t>
            </w: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b/>
              </w:rPr>
            </w:r>
          </w:p>
        </w:tc>
        <w:tc>
          <w:tcPr>
            <w:gridSpan w:val="2"/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2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  <w:t xml:space="preserve">7759</w:t>
            </w: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b/>
              </w:rPr>
            </w:r>
          </w:p>
        </w:tc>
        <w:tc>
          <w:tcPr>
            <w:shd w:val="clear" w:color="000000" w:fill="b7dee8"/>
            <w:tcBorders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16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</w:rPr>
              <w:t xml:space="preserve">28231</w:t>
            </w:r>
            <w:r>
              <w:rPr>
                <w:rFonts w:ascii="Times New Roman" w:hAnsi="Times New Roman" w:cs="Times New Roman" w:eastAsia="Times New Roman"/>
                <w:b/>
                <w:sz w:val="16"/>
              </w:rPr>
            </w:r>
            <w:r>
              <w:rPr>
                <w:b/>
              </w:rPr>
            </w:r>
          </w:p>
        </w:tc>
      </w:tr>
    </w:tbl>
    <w:p>
      <w:pPr>
        <w:pStyle w:val="811"/>
        <w:jc w:val="left"/>
        <w:spacing w:before="0" w:after="200" w:line="276" w:lineRule="auto"/>
        <w:widowControl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  <w:t xml:space="preserve">«Статистические данные проведенных судебных, судебно- медицинских, судебно-психиатрических, судебно-наркологических экспертиз» (за 2024г)</w:t>
      </w:r>
      <w:r>
        <w:rPr>
          <w:rFonts w:ascii="Times New Roman" w:hAnsi="Times New Roman" w:cs="Times New Roman" w:eastAsia="Times New Roman"/>
          <w:i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603030804020204"/>
  </w:font>
  <w:font w:name="Lohit Devanagari">
    <w:panose1 w:val="020B06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character" w:styleId="666">
    <w:name w:val="Caption Char"/>
    <w:basedOn w:val="816"/>
    <w:link w:val="664"/>
    <w:uiPriority w:val="99"/>
  </w:style>
  <w:style w:type="table" w:styleId="667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character" w:styleId="812" w:default="1">
    <w:name w:val="Default Paragraph Font"/>
    <w:uiPriority w:val="1"/>
    <w:semiHidden/>
    <w:unhideWhenUsed/>
    <w:qFormat/>
  </w:style>
  <w:style w:type="paragraph" w:styleId="813">
    <w:name w:val="Заголовок"/>
    <w:basedOn w:val="811"/>
    <w:next w:val="814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814">
    <w:name w:val="Body Text"/>
    <w:basedOn w:val="811"/>
    <w:pPr>
      <w:spacing w:before="0" w:after="140" w:line="276" w:lineRule="auto"/>
    </w:pPr>
  </w:style>
  <w:style w:type="paragraph" w:styleId="815">
    <w:name w:val="List"/>
    <w:basedOn w:val="814"/>
    <w:rPr>
      <w:rFonts w:cs="Lohit Devanagari"/>
    </w:rPr>
  </w:style>
  <w:style w:type="paragraph" w:styleId="816">
    <w:name w:val="Caption"/>
    <w:basedOn w:val="81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17">
    <w:name w:val="Указатель"/>
    <w:basedOn w:val="811"/>
    <w:qFormat/>
    <w:pPr>
      <w:suppressLineNumbers/>
    </w:pPr>
    <w:rPr>
      <w:rFonts w:cs="Lohit Devanagari"/>
    </w:rPr>
  </w:style>
  <w:style w:type="paragraph" w:styleId="818">
    <w:name w:val="Содержимое таблицы"/>
    <w:basedOn w:val="811"/>
    <w:qFormat/>
    <w:pPr>
      <w:suppressLineNumbers/>
    </w:pPr>
  </w:style>
  <w:style w:type="paragraph" w:styleId="819">
    <w:name w:val="Заголовок таблицы"/>
    <w:basedOn w:val="818"/>
    <w:qFormat/>
    <w:pPr>
      <w:jc w:val="center"/>
      <w:suppressLineNumbers/>
    </w:pPr>
    <w:rPr>
      <w:b/>
      <w:bCs/>
    </w:rPr>
  </w:style>
  <w:style w:type="numbering" w:styleId="820" w:default="1">
    <w:name w:val="No List"/>
    <w:uiPriority w:val="99"/>
    <w:semiHidden/>
    <w:unhideWhenUsed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Служба статистики и анализа судебно-экспертной деятельности</cp:lastModifiedBy>
  <cp:revision>15</cp:revision>
  <dcterms:created xsi:type="dcterms:W3CDTF">2022-03-04T05:09:00Z</dcterms:created>
  <dcterms:modified xsi:type="dcterms:W3CDTF">2025-01-06T07:46:25Z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