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word/webSettings.xml" ContentType="application/vnd.openxmlformats-officedocument.wordprocessingml.webSettings+xml"/>
  <Override PartName="/word/footnotes.xml" ContentType="application/vnd.openxmlformats-officedocument.wordprocessingml.footnot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9B9F34F">
      <w:pPr>
        <w:pBdr/>
        <w:spacing w:after="0" w:line="240" w:lineRule="auto"/>
        <w:ind/>
        <w:jc w:val="center"/>
        <w:rPr>
          <w:rFonts w:ascii="Times New Roman" w:hAnsi="Times New Roman" w:cs="Times New Roman"/>
          <w:sz w:val="28"/>
          <w:szCs w:val="28"/>
        </w:rPr>
      </w:pPr>
      <w:r>
        <w:rPr>
          <w:rFonts w:ascii="Times New Roman" w:hAnsi="Times New Roman" w:eastAsia="Times New Roman" w:cs="Times New Roman"/>
          <w:b/>
          <w:bCs/>
          <w:sz w:val="28"/>
          <w:szCs w:val="28"/>
          <w:lang w:eastAsia="ru-RU"/>
        </w:rPr>
        <w:t xml:space="preserve">СЫБАЙЛАС ЖЕМҚОРЛЫҚ ТӘУЕКЕЛДЕРІНЕ </w:t>
      </w:r>
      <w:r>
        <w:rPr>
          <w:rFonts w:ascii="Times New Roman" w:hAnsi="Times New Roman" w:eastAsia="Times New Roman" w:cs="Times New Roman"/>
          <w:b/>
          <w:bCs/>
          <w:sz w:val="28"/>
          <w:szCs w:val="28"/>
          <w:lang w:val="kk-KZ" w:eastAsia="ru-RU"/>
        </w:rPr>
        <w:t xml:space="preserve">СЫРТҚЫ ТАЛДАУ НӘТИЖЕЛЕРІ БОЙЫНША ҰСЫНЫМДАРДЫ ІСКЕ АСЫРУ ТУРАЛЫ АНЫҚТАМА</w:t>
      </w:r>
      <w:r>
        <w:rPr>
          <w:rFonts w:ascii="Times New Roman" w:hAnsi="Times New Roman" w:eastAsia="Times New Roman" w:cs="Times New Roman"/>
          <w:sz w:val="28"/>
          <w:szCs w:val="28"/>
          <w:lang w:val="kk-KZ" w:eastAsia="ru-RU"/>
        </w:rPr>
      </w:r>
    </w:p>
    <w:p w14:paraId="1CA51C63">
      <w:pPr>
        <w:pBdr/>
        <w:spacing w:after="0" w:line="240" w:lineRule="auto"/>
        <w:ind/>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r>
      <w:r>
        <w:rPr>
          <w:rFonts w:ascii="Times New Roman" w:hAnsi="Times New Roman" w:eastAsia="Times New Roman" w:cs="Times New Roman"/>
          <w:sz w:val="28"/>
          <w:szCs w:val="28"/>
          <w:lang w:val="kk-KZ" w:eastAsia="ru-RU"/>
        </w:rPr>
      </w:r>
    </w:p>
    <w:p w14:paraId="27AB61D2">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Қазақстан Республикасы Мемлекеттік қызмет істері агенттігінің Қызылорда облысы бойынша депа</w:t>
      </w:r>
      <w:r>
        <w:rPr>
          <w:rFonts w:ascii="Times New Roman" w:hAnsi="Times New Roman" w:eastAsia="Times New Roman" w:cs="Times New Roman"/>
          <w:sz w:val="28"/>
          <w:szCs w:val="28"/>
          <w:lang w:val="kk-KZ" w:eastAsia="ru-RU"/>
        </w:rPr>
        <w:t xml:space="preserve">ртаменті мен Қазақстан Республикасы Әділет министрлігі «Сот сараптамалары орталығы» РМҚК Қызылорда облысы бойынша Сот сараптамалары институтының бірлескен бұйрықтары негізінде Институт қызметіндегі сыбайлас жемқорлық тәуекелдеріне сыртқы талдау жүргізілді.</w:t>
      </w:r>
      <w:r>
        <w:rPr>
          <w:rFonts w:ascii="Times New Roman" w:hAnsi="Times New Roman" w:eastAsia="Times New Roman" w:cs="Times New Roman"/>
          <w:sz w:val="28"/>
          <w:szCs w:val="28"/>
          <w:lang w:val="kk-KZ" w:eastAsia="ru-RU"/>
        </w:rPr>
      </w:r>
    </w:p>
    <w:p w14:paraId="7F1FB7DC">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Сыртқы талдау 2023–2025 жылдар </w:t>
      </w:r>
      <w:r>
        <w:rPr>
          <w:rFonts w:ascii="Times New Roman" w:hAnsi="Times New Roman" w:eastAsia="Times New Roman" w:cs="Times New Roman"/>
          <w:sz w:val="28"/>
          <w:szCs w:val="28"/>
          <w:lang w:val="kk-KZ" w:eastAsia="ru-RU"/>
        </w:rPr>
        <w:t xml:space="preserve">аралығын қамтып, Институттың нормативтік-құқықтық реттелуі, ұйымдастырушылық-басқару қызметі, кадрлық қамтамасыз ету, ақылы қызмет көрсету, сот сараптамаларын жүргізу, мемлекеттік сатып алу және қаржылық есеп жүргізу бағыттары бойынша зерделеу жүргізілді. </w:t>
      </w:r>
      <w:r>
        <w:rPr>
          <w:rFonts w:ascii="Times New Roman" w:hAnsi="Times New Roman" w:eastAsia="Times New Roman" w:cs="Times New Roman"/>
          <w:sz w:val="28"/>
          <w:szCs w:val="28"/>
          <w:lang w:val="kk-KZ" w:eastAsia="ru-RU"/>
        </w:rPr>
      </w:r>
    </w:p>
    <w:p w14:paraId="34F05464">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Сыртқы талдау нәтижесінде сыбайлас жемқорлық тәуекелдерін төмендетуге бағытталған </w:t>
      </w:r>
      <w:r>
        <w:rPr>
          <w:rFonts w:ascii="Times New Roman" w:hAnsi="Times New Roman" w:eastAsia="Times New Roman" w:cs="Times New Roman"/>
          <w:b/>
          <w:bCs/>
          <w:sz w:val="28"/>
          <w:szCs w:val="28"/>
          <w:lang w:val="kk-KZ" w:eastAsia="ru-RU"/>
        </w:rPr>
        <w:t xml:space="preserve">35 ұсыным</w:t>
      </w:r>
      <w:r>
        <w:rPr>
          <w:rFonts w:ascii="Times New Roman" w:hAnsi="Times New Roman" w:eastAsia="Times New Roman" w:cs="Times New Roman"/>
          <w:sz w:val="28"/>
          <w:szCs w:val="28"/>
          <w:lang w:val="kk-KZ" w:eastAsia="ru-RU"/>
        </w:rPr>
        <w:t xml:space="preserve"> әзірленді. </w:t>
      </w:r>
      <w:r>
        <w:rPr>
          <w:rFonts w:ascii="Times New Roman" w:hAnsi="Times New Roman" w:eastAsia="Times New Roman" w:cs="Times New Roman"/>
          <w:sz w:val="28"/>
          <w:szCs w:val="28"/>
          <w:lang w:val="kk-KZ" w:eastAsia="ru-RU"/>
        </w:rPr>
      </w:r>
    </w:p>
    <w:p w14:paraId="40067AE8">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Аталған ұсынымдар нормативтік талаптарды нақтылау, сарапшылардың жұмыс жүктемесін әділ бөлу, аттестаттау </w:t>
      </w:r>
      <w:r>
        <w:rPr>
          <w:rFonts w:ascii="Times New Roman" w:hAnsi="Times New Roman" w:eastAsia="Times New Roman" w:cs="Times New Roman"/>
          <w:sz w:val="28"/>
          <w:szCs w:val="28"/>
          <w:lang w:val="kk-KZ" w:eastAsia="ru-RU"/>
        </w:rPr>
        <w:t xml:space="preserve">рәсімдерінің ашықтығын арттыру, кадрларды іріктеу процесін цифрландыру, ақылы қызметтер бойынша қаржылық тәртіпті жетілдіру, заттай дәлелдемелердің сақталуын қамтамасыз ету және мемлекеттік сатып алу рәсімдерінің бәсекелестігін арттыру бағыттарын қамтыды. </w:t>
      </w:r>
      <w:r>
        <w:rPr>
          <w:rFonts w:ascii="Times New Roman" w:hAnsi="Times New Roman" w:eastAsia="Times New Roman" w:cs="Times New Roman"/>
          <w:sz w:val="28"/>
          <w:szCs w:val="28"/>
          <w:lang w:val="kk-KZ" w:eastAsia="ru-RU"/>
        </w:rPr>
      </w:r>
    </w:p>
    <w:p w14:paraId="39E4F066">
      <w:pPr>
        <w:pBdr/>
        <w:spacing w:after="0" w:line="240" w:lineRule="auto"/>
        <w:ind w:firstLine="708"/>
        <w:jc w:val="both"/>
        <w:rPr>
          <w:rFonts w:ascii="Times New Roman" w:hAnsi="Times New Roman" w:cs="Times New Roman"/>
          <w:sz w:val="28"/>
          <w:szCs w:val="28"/>
          <w:u w:val="single"/>
        </w:rPr>
      </w:pPr>
      <w:r>
        <w:rPr>
          <w:rFonts w:ascii="Times New Roman" w:hAnsi="Times New Roman" w:eastAsia="Times New Roman" w:cs="Times New Roman"/>
          <w:b/>
          <w:bCs/>
          <w:sz w:val="28"/>
          <w:szCs w:val="28"/>
          <w:u w:val="single"/>
          <w:lang w:val="kk-KZ" w:eastAsia="ru-RU"/>
        </w:rPr>
        <w:t xml:space="preserve">Сарапшылардың жұмыс жүктемесін теңгерімді бөлу</w:t>
      </w:r>
      <w:r>
        <w:rPr>
          <w:rFonts w:ascii="Times New Roman" w:hAnsi="Times New Roman" w:eastAsia="Times New Roman" w:cs="Times New Roman"/>
          <w:sz w:val="28"/>
          <w:szCs w:val="28"/>
          <w:u w:val="single"/>
          <w:lang w:val="kk-KZ" w:eastAsia="ru-RU"/>
        </w:rPr>
      </w:r>
    </w:p>
    <w:p w14:paraId="673BDED5">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Талдау барысында, со</w:t>
      </w:r>
      <w:r>
        <w:rPr>
          <w:rFonts w:ascii="Times New Roman" w:hAnsi="Times New Roman" w:eastAsia="Times New Roman" w:cs="Times New Roman"/>
          <w:sz w:val="28"/>
          <w:szCs w:val="28"/>
          <w:lang w:val="kk-KZ" w:eastAsia="ru-RU"/>
        </w:rPr>
        <w:t xml:space="preserve">т сарапшыларының жұмыс жүктемесінде біркелкілік болмағаны және жекелеген сараптама түрлері бойынша мамандардың жетіспеушілігі жұмыс көлемінің артуына алып келгені анықталды. Бұл, сараптамаларды бөлу кезінде субъективті шешім қабылдау тәуекелін туындатуда. </w:t>
      </w:r>
      <w:r>
        <w:rPr>
          <w:rFonts w:ascii="Times New Roman" w:hAnsi="Times New Roman" w:eastAsia="Times New Roman" w:cs="Times New Roman"/>
          <w:sz w:val="28"/>
          <w:szCs w:val="28"/>
          <w:lang w:val="kk-KZ" w:eastAsia="ru-RU"/>
        </w:rPr>
      </w:r>
    </w:p>
    <w:p w14:paraId="21FA5CAF">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Ұсыным негізінде, сараптамаларды бөлу кезінде сарапшылардың біліктілік куәліктері ескерілді. Жұмыс жүктемесін төмендету мақсатында қосымша мамандар жұмысқа қабылданды және жекелеген сарапшыларға қосымша біліктілік алу бойынша шаралар қабылданды. </w:t>
      </w:r>
      <w:r>
        <w:rPr>
          <w:rFonts w:ascii="Times New Roman" w:hAnsi="Times New Roman" w:eastAsia="Times New Roman" w:cs="Times New Roman"/>
          <w:sz w:val="28"/>
          <w:szCs w:val="28"/>
          <w:lang w:val="kk-KZ" w:eastAsia="ru-RU"/>
        </w:rPr>
      </w:r>
    </w:p>
    <w:p w14:paraId="43334E3B">
      <w:pPr>
        <w:pBdr/>
        <w:spacing w:after="0" w:line="240" w:lineRule="auto"/>
        <w:ind w:firstLine="708"/>
        <w:jc w:val="both"/>
        <w:rPr>
          <w:rFonts w:ascii="Times New Roman" w:hAnsi="Times New Roman" w:cs="Times New Roman"/>
          <w:sz w:val="28"/>
          <w:szCs w:val="28"/>
          <w:u w:val="single"/>
        </w:rPr>
      </w:pPr>
      <w:r>
        <w:rPr>
          <w:rFonts w:ascii="Times New Roman" w:hAnsi="Times New Roman" w:eastAsia="Times New Roman" w:cs="Times New Roman"/>
          <w:b/>
          <w:bCs/>
          <w:sz w:val="28"/>
          <w:szCs w:val="28"/>
          <w:u w:val="single"/>
          <w:lang w:val="kk-KZ" w:eastAsia="ru-RU"/>
        </w:rPr>
        <w:t xml:space="preserve">Кадрларды іріктеу және жұмысқа қабылдау рәсімдерінің ашықтығы</w:t>
      </w:r>
      <w:r>
        <w:rPr>
          <w:rFonts w:ascii="Times New Roman" w:hAnsi="Times New Roman" w:eastAsia="Times New Roman" w:cs="Times New Roman"/>
          <w:sz w:val="28"/>
          <w:szCs w:val="28"/>
          <w:u w:val="single"/>
          <w:lang w:val="kk-KZ" w:eastAsia="ru-RU"/>
        </w:rPr>
      </w:r>
    </w:p>
    <w:p w14:paraId="37D92E6D">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Сарапшыларды жұмысқа қабылдау кезінде құжаттарды қабылдау және қарау рәсімдерінде адам факторының ықпалы әсер ететіндігі анықталды.</w:t>
      </w:r>
      <w:r>
        <w:rPr>
          <w:rFonts w:ascii="Times New Roman" w:hAnsi="Times New Roman" w:eastAsia="Times New Roman" w:cs="Times New Roman"/>
          <w:sz w:val="28"/>
          <w:szCs w:val="28"/>
          <w:lang w:val="kk-KZ" w:eastAsia="ru-RU"/>
        </w:rPr>
      </w:r>
    </w:p>
    <w:p w14:paraId="2BA0E176">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Кадрларды қабылдау рәсімдерін цифрландыру, кандидаттардың құжаттарын электрондық түрде қабылдау және тіркеу, бос жұмыс орындары туралы ақпаратты ашық жариялау қажетті туралы ұсыныс берілді.</w:t>
      </w:r>
      <w:r>
        <w:rPr>
          <w:rFonts w:ascii="Times New Roman" w:hAnsi="Times New Roman" w:eastAsia="Times New Roman" w:cs="Times New Roman"/>
          <w:sz w:val="28"/>
          <w:szCs w:val="28"/>
          <w:lang w:val="kk-KZ" w:eastAsia="ru-RU"/>
        </w:rPr>
      </w:r>
    </w:p>
    <w:p w14:paraId="52200C21">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bCs/>
          <w:sz w:val="28"/>
          <w:szCs w:val="28"/>
          <w:lang w:val="kk-KZ" w:eastAsia="ru-RU"/>
        </w:rPr>
        <w:t xml:space="preserve">Ұсныс негізінде, б</w:t>
      </w:r>
      <w:r>
        <w:rPr>
          <w:rFonts w:ascii="Times New Roman" w:hAnsi="Times New Roman" w:eastAsia="Times New Roman" w:cs="Times New Roman"/>
          <w:sz w:val="28"/>
          <w:szCs w:val="28"/>
          <w:lang w:val="kk-KZ" w:eastAsia="ru-RU"/>
        </w:rPr>
        <w:t xml:space="preserve">ос жұмыс орындары туралы ақпарат </w:t>
      </w:r>
      <w:r>
        <w:rPr>
          <w:rFonts w:ascii="Times New Roman" w:hAnsi="Times New Roman" w:eastAsia="Times New Roman" w:cs="Times New Roman"/>
          <w:b/>
          <w:sz w:val="28"/>
          <w:szCs w:val="28"/>
          <w:lang w:val="kk-KZ" w:eastAsia="ru-RU"/>
        </w:rPr>
        <w:t xml:space="preserve">«</w:t>
      </w:r>
      <w:r>
        <w:rPr>
          <w:rFonts w:ascii="Times New Roman" w:hAnsi="Times New Roman" w:eastAsia="Times New Roman" w:cs="Times New Roman"/>
          <w:b/>
          <w:bCs/>
          <w:sz w:val="28"/>
          <w:szCs w:val="28"/>
          <w:lang w:val="kk-KZ" w:eastAsia="ru-RU"/>
        </w:rPr>
        <w:t xml:space="preserve">Enbek.kz»</w:t>
      </w:r>
      <w:r>
        <w:rPr>
          <w:rFonts w:ascii="Times New Roman" w:hAnsi="Times New Roman" w:eastAsia="Times New Roman" w:cs="Times New Roman"/>
          <w:sz w:val="28"/>
          <w:szCs w:val="28"/>
          <w:lang w:val="kk-KZ" w:eastAsia="ru-RU"/>
        </w:rPr>
        <w:t xml:space="preserve"> платформасында орналастырылуда. </w:t>
      </w:r>
      <w:r>
        <w:rPr>
          <w:rFonts w:ascii="Times New Roman" w:hAnsi="Times New Roman" w:eastAsia="Times New Roman" w:cs="Times New Roman"/>
          <w:sz w:val="28"/>
          <w:szCs w:val="28"/>
          <w:lang w:val="kk-KZ" w:eastAsia="ru-RU"/>
        </w:rPr>
      </w:r>
    </w:p>
    <w:p w14:paraId="49D8FE3C">
      <w:pPr>
        <w:pBdr/>
        <w:spacing w:after="0" w:line="240" w:lineRule="auto"/>
        <w:ind w:firstLine="708"/>
        <w:jc w:val="both"/>
        <w:rPr>
          <w:rFonts w:ascii="Times New Roman" w:hAnsi="Times New Roman" w:cs="Times New Roman"/>
          <w:sz w:val="28"/>
          <w:szCs w:val="28"/>
          <w:u w:val="single"/>
        </w:rPr>
      </w:pPr>
      <w:r>
        <w:rPr>
          <w:rFonts w:ascii="Times New Roman" w:hAnsi="Times New Roman" w:eastAsia="Times New Roman" w:cs="Times New Roman"/>
          <w:b/>
          <w:bCs/>
          <w:sz w:val="28"/>
          <w:szCs w:val="28"/>
          <w:u w:val="single"/>
          <w:lang w:val="kk-KZ" w:eastAsia="ru-RU"/>
        </w:rPr>
        <w:t xml:space="preserve">Қоса атқару және штаттық қамтамасыз ету</w:t>
      </w:r>
      <w:r>
        <w:rPr>
          <w:rFonts w:ascii="Times New Roman" w:hAnsi="Times New Roman" w:eastAsia="Times New Roman" w:cs="Times New Roman"/>
          <w:sz w:val="28"/>
          <w:szCs w:val="28"/>
          <w:u w:val="single"/>
          <w:lang w:val="kk-KZ" w:eastAsia="ru-RU"/>
        </w:rPr>
      </w:r>
    </w:p>
    <w:p w14:paraId="7B515B8C">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bCs/>
          <w:sz w:val="28"/>
          <w:szCs w:val="28"/>
          <w:lang w:val="kk-KZ" w:eastAsia="ru-RU"/>
        </w:rPr>
        <w:t xml:space="preserve">Анықталғаны, ж</w:t>
      </w:r>
      <w:r>
        <w:rPr>
          <w:rFonts w:ascii="Times New Roman" w:hAnsi="Times New Roman" w:eastAsia="Times New Roman" w:cs="Times New Roman"/>
          <w:sz w:val="28"/>
          <w:szCs w:val="28"/>
          <w:lang w:val="kk-KZ" w:eastAsia="ru-RU"/>
        </w:rPr>
        <w:t xml:space="preserve">екелеген қызметкерлердің бірнеше функционалдық міндеттерді қатар атқаруы, сондай-ақ кейбір бөлімдерде штаттық мамандардың ж</w:t>
      </w:r>
      <w:r>
        <w:rPr>
          <w:rFonts w:ascii="Times New Roman" w:hAnsi="Times New Roman" w:eastAsia="Times New Roman" w:cs="Times New Roman"/>
          <w:sz w:val="28"/>
          <w:szCs w:val="28"/>
          <w:lang w:val="kk-KZ" w:eastAsia="ru-RU"/>
        </w:rPr>
        <w:t xml:space="preserve">етіспеушілігі анықталды. Бұл мүдделер қақтығысының және функционалдық міндеттердің тиісті бөлінбеуінің тәуекелін арттыратыны сөзсіз. Бірқатар лауазымдар бойынша қоса атқару тоқтатылып, тиісті қызметтерге негізгі жұмыс орны ретінде қызметкерлер қабылданды. </w:t>
      </w:r>
      <w:r>
        <w:rPr>
          <w:rFonts w:ascii="Times New Roman" w:hAnsi="Times New Roman" w:eastAsia="Times New Roman" w:cs="Times New Roman"/>
          <w:sz w:val="28"/>
          <w:szCs w:val="28"/>
          <w:lang w:val="kk-KZ" w:eastAsia="ru-RU"/>
        </w:rPr>
      </w:r>
    </w:p>
    <w:p w14:paraId="02D252F6">
      <w:pPr>
        <w:pBdr/>
        <w:spacing w:after="0" w:line="240" w:lineRule="auto"/>
        <w:ind w:firstLine="708"/>
        <w:jc w:val="both"/>
        <w:rPr>
          <w:rFonts w:ascii="Times New Roman" w:hAnsi="Times New Roman" w:cs="Times New Roman"/>
          <w:sz w:val="28"/>
          <w:szCs w:val="28"/>
          <w:u w:val="single"/>
        </w:rPr>
      </w:pPr>
      <w:r>
        <w:rPr>
          <w:rFonts w:ascii="Times New Roman" w:hAnsi="Times New Roman" w:eastAsia="Times New Roman" w:cs="Times New Roman"/>
          <w:b/>
          <w:bCs/>
          <w:sz w:val="28"/>
          <w:szCs w:val="28"/>
          <w:u w:val="single"/>
          <w:lang w:val="kk-KZ" w:eastAsia="ru-RU"/>
        </w:rPr>
        <w:t xml:space="preserve">Ақылы қызметтер және қаржылық операциялардың ашықтығы</w:t>
      </w:r>
      <w:r>
        <w:rPr>
          <w:rFonts w:ascii="Times New Roman" w:hAnsi="Times New Roman" w:eastAsia="Times New Roman" w:cs="Times New Roman"/>
          <w:sz w:val="28"/>
          <w:szCs w:val="28"/>
          <w:u w:val="single"/>
          <w:lang w:val="kk-KZ" w:eastAsia="ru-RU"/>
        </w:rPr>
      </w:r>
    </w:p>
    <w:p w14:paraId="781C129D">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Ақылы қызметтер бойынша барлық төлемдерді банк немесе кассалық аппарат арқылы қабылдау, оларды бухгалтерлік есепке толық енгізу</w:t>
      </w:r>
      <w:bookmarkStart w:id="0" w:name="_GoBack"/>
      <w:r>
        <w:rPr>
          <w:rFonts w:ascii="Times New Roman" w:hAnsi="Times New Roman" w:eastAsia="Times New Roman" w:cs="Times New Roman"/>
        </w:rPr>
      </w:r>
      <w:bookmarkEnd w:id="0"/>
      <w:r>
        <w:rPr>
          <w:rFonts w:ascii="Times New Roman" w:hAnsi="Times New Roman" w:eastAsia="Times New Roman" w:cs="Times New Roman"/>
          <w:sz w:val="28"/>
          <w:szCs w:val="28"/>
          <w:lang w:val="kk-KZ" w:eastAsia="ru-RU"/>
        </w:rPr>
        <w:t xml:space="preserve">, қаржылық операцияларға қолжетімділікті бөлу және қызмет тарифтерін ашық жариялау ұсынысы қабылданды.</w:t>
      </w:r>
      <w:r>
        <w:rPr>
          <w:rFonts w:ascii="Times New Roman" w:hAnsi="Times New Roman" w:eastAsia="Times New Roman" w:cs="Times New Roman"/>
          <w:sz w:val="28"/>
          <w:szCs w:val="28"/>
          <w:lang w:val="kk-KZ" w:eastAsia="ru-RU"/>
        </w:rPr>
      </w:r>
    </w:p>
    <w:p w14:paraId="63CF1C1F">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Ұсныс нәтижесінде, ақылы қызметтер бойынша төлемдер банк және «QR-төлемдер» арқылы қабылдануда. Түскен қаражат «</w:t>
      </w:r>
      <w:r>
        <w:rPr>
          <w:rFonts w:ascii="Times New Roman" w:hAnsi="Times New Roman" w:eastAsia="Times New Roman" w:cs="Times New Roman"/>
          <w:bCs/>
          <w:sz w:val="28"/>
          <w:szCs w:val="28"/>
          <w:lang w:val="kk-KZ" w:eastAsia="ru-RU"/>
        </w:rPr>
        <w:t xml:space="preserve">1С бухгалтерлік бағдарламасына»</w:t>
      </w:r>
      <w:r>
        <w:rPr>
          <w:rFonts w:ascii="Times New Roman" w:hAnsi="Times New Roman" w:eastAsia="Times New Roman" w:cs="Times New Roman"/>
          <w:sz w:val="28"/>
          <w:szCs w:val="28"/>
          <w:lang w:val="kk-KZ" w:eastAsia="ru-RU"/>
        </w:rPr>
        <w:t xml:space="preserve"> енгізіліп, банк құжаттарымен салыстырылады.</w:t>
      </w:r>
      <w:r>
        <w:rPr>
          <w:rFonts w:ascii="Times New Roman" w:hAnsi="Times New Roman" w:eastAsia="Times New Roman" w:cs="Times New Roman"/>
          <w:sz w:val="28"/>
          <w:szCs w:val="28"/>
          <w:lang w:val="kk-KZ" w:eastAsia="ru-RU"/>
        </w:rPr>
      </w:r>
    </w:p>
    <w:p w14:paraId="089BDC62">
      <w:pPr>
        <w:pBdr/>
        <w:spacing w:after="0" w:line="240" w:lineRule="auto"/>
        <w:ind w:firstLine="708"/>
        <w:jc w:val="both"/>
        <w:rPr>
          <w:rFonts w:ascii="Times New Roman" w:hAnsi="Times New Roman" w:cs="Times New Roman"/>
          <w:sz w:val="28"/>
          <w:szCs w:val="28"/>
          <w:u w:val="single"/>
        </w:rPr>
      </w:pPr>
      <w:r>
        <w:rPr>
          <w:rFonts w:ascii="Times New Roman" w:hAnsi="Times New Roman" w:eastAsia="Times New Roman" w:cs="Times New Roman"/>
          <w:b/>
          <w:bCs/>
          <w:sz w:val="28"/>
          <w:szCs w:val="28"/>
          <w:u w:val="single"/>
          <w:lang w:val="kk-KZ" w:eastAsia="ru-RU"/>
        </w:rPr>
        <w:t xml:space="preserve">Айғақ заттарды есепке алу және сақтау қауіпсіздігі</w:t>
      </w:r>
      <w:r>
        <w:rPr>
          <w:rFonts w:ascii="Times New Roman" w:hAnsi="Times New Roman" w:eastAsia="Times New Roman" w:cs="Times New Roman"/>
          <w:sz w:val="28"/>
          <w:szCs w:val="28"/>
          <w:u w:val="single"/>
          <w:lang w:val="kk-KZ" w:eastAsia="ru-RU"/>
        </w:rPr>
      </w:r>
    </w:p>
    <w:p w14:paraId="376F81B5">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Институтта, айғақ заттарды тіркеу және сақтау барысында адам факторының ықпалы, деректердің жоғалуы немесе қателіктердің орын алу тәуекелі анықталды. Со</w:t>
      </w:r>
      <w:r>
        <w:rPr>
          <w:rFonts w:ascii="Times New Roman" w:hAnsi="Times New Roman" w:eastAsia="Times New Roman" w:cs="Times New Roman"/>
          <w:sz w:val="28"/>
          <w:szCs w:val="28"/>
          <w:lang w:val="kk-KZ" w:eastAsia="ru-RU"/>
        </w:rPr>
        <w:t xml:space="preserve">ндай-ақ, арнайы сақтау орындарының қауіпсіздігін күшейту қажеттілік ететіні нақтыланды. Соған сәйкес, айғақ заттарды тіркеуді электрондық жүйеге енгізу және олар сақталатын арнайы бөлмелер мен тоңазытқыш камераларына бейнебақылау орнату қажеттігі туындады.</w:t>
      </w:r>
      <w:r>
        <w:rPr>
          <w:rFonts w:ascii="Times New Roman" w:hAnsi="Times New Roman" w:eastAsia="Times New Roman" w:cs="Times New Roman"/>
          <w:sz w:val="28"/>
          <w:szCs w:val="28"/>
          <w:lang w:val="kk-KZ" w:eastAsia="ru-RU"/>
        </w:rPr>
      </w:r>
    </w:p>
    <w:p w14:paraId="2830B0F6">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Қазіргі уақытта, айғақ заттар қағаз журналмен қатар электрондық жүйеде тіркелуде. Арнайы сақтау бөлмелері мен тоңазытқыш камераларына IP-бейнебақылау камераларын орнату бойынша тиісті шаралар қабылданып, мемлекеттік сатып алу рәсімдері жүргізілді. </w:t>
      </w:r>
      <w:r>
        <w:rPr>
          <w:rFonts w:ascii="Times New Roman" w:hAnsi="Times New Roman" w:eastAsia="Times New Roman" w:cs="Times New Roman"/>
          <w:sz w:val="28"/>
          <w:szCs w:val="28"/>
          <w:lang w:val="kk-KZ" w:eastAsia="ru-RU"/>
        </w:rPr>
      </w:r>
    </w:p>
    <w:p w14:paraId="1F773171">
      <w:pPr>
        <w:pBdr/>
        <w:spacing w:after="0" w:line="240" w:lineRule="auto"/>
        <w:ind w:firstLine="708"/>
        <w:jc w:val="both"/>
        <w:rPr>
          <w:rFonts w:ascii="Times New Roman" w:hAnsi="Times New Roman" w:cs="Times New Roman"/>
          <w:sz w:val="28"/>
          <w:szCs w:val="28"/>
          <w:u w:val="single"/>
        </w:rPr>
      </w:pPr>
      <w:r>
        <w:rPr>
          <w:rFonts w:ascii="Times New Roman" w:hAnsi="Times New Roman" w:eastAsia="Times New Roman" w:cs="Times New Roman"/>
          <w:b/>
          <w:bCs/>
          <w:sz w:val="28"/>
          <w:szCs w:val="28"/>
          <w:u w:val="single"/>
          <w:lang w:val="kk-KZ" w:eastAsia="ru-RU"/>
        </w:rPr>
        <w:t xml:space="preserve">Сарапшыларды аттестаттау рәсімдерінің ашықтығы</w:t>
      </w:r>
      <w:r>
        <w:rPr>
          <w:rFonts w:ascii="Times New Roman" w:hAnsi="Times New Roman" w:eastAsia="Times New Roman" w:cs="Times New Roman"/>
          <w:sz w:val="28"/>
          <w:szCs w:val="28"/>
          <w:u w:val="single"/>
          <w:lang w:val="kk-KZ" w:eastAsia="ru-RU"/>
        </w:rPr>
      </w:r>
    </w:p>
    <w:p w14:paraId="7AA51554">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Талдау барысында, институт сарапшыларын аттестаттау рәсімдерінің барлық кезеңдерін тіркеу және кейіннен тексеру мүмкіндігін қамтамасыз ету қажеттілігі туындайтыны белгілі болды. Ары қарай, аттестаттау </w:t>
      </w:r>
      <w:r>
        <w:rPr>
          <w:rFonts w:ascii="Times New Roman" w:hAnsi="Times New Roman" w:eastAsia="Times New Roman" w:cs="Times New Roman"/>
          <w:sz w:val="28"/>
          <w:szCs w:val="28"/>
          <w:lang w:val="kk-KZ" w:eastAsia="ru-RU"/>
        </w:rPr>
        <w:t xml:space="preserve">рәсімдерін бейне және аудио тіркеу, жазбаларды электрондық архивте сақтау және оларға қолжетімділік тәртібін белгілеу кректігі туындауда. Ұсыныс аясында, бейне-аудио тіркеуді және электрондық архив қалыптастыруды қамтамасыз  ету бойынша шаралар қабылданды.</w:t>
      </w:r>
      <w:r>
        <w:rPr>
          <w:rFonts w:ascii="Times New Roman" w:hAnsi="Times New Roman" w:eastAsia="Times New Roman" w:cs="Times New Roman"/>
          <w:sz w:val="28"/>
          <w:szCs w:val="28"/>
          <w:lang w:val="kk-KZ" w:eastAsia="ru-RU"/>
        </w:rPr>
      </w:r>
    </w:p>
    <w:p w14:paraId="21F491D8">
      <w:pPr>
        <w:pBdr/>
        <w:spacing w:after="0" w:line="240" w:lineRule="auto"/>
        <w:ind w:firstLine="708"/>
        <w:jc w:val="both"/>
        <w:rPr>
          <w:rFonts w:ascii="Times New Roman" w:hAnsi="Times New Roman" w:cs="Times New Roman"/>
          <w:sz w:val="28"/>
          <w:szCs w:val="28"/>
          <w:u w:val="single"/>
        </w:rPr>
      </w:pPr>
      <w:r>
        <w:rPr>
          <w:rFonts w:ascii="Times New Roman" w:hAnsi="Times New Roman" w:eastAsia="Times New Roman" w:cs="Times New Roman"/>
          <w:b/>
          <w:bCs/>
          <w:sz w:val="28"/>
          <w:szCs w:val="28"/>
          <w:u w:val="single"/>
          <w:lang w:val="kk-KZ" w:eastAsia="ru-RU"/>
        </w:rPr>
        <w:t xml:space="preserve">Мемлекеттік сатып алудағы бәсекелестікті арттыру</w:t>
      </w:r>
      <w:r>
        <w:rPr>
          <w:rFonts w:ascii="Times New Roman" w:hAnsi="Times New Roman" w:eastAsia="Times New Roman" w:cs="Times New Roman"/>
          <w:sz w:val="28"/>
          <w:szCs w:val="28"/>
          <w:u w:val="single"/>
          <w:lang w:val="kk-KZ" w:eastAsia="ru-RU"/>
        </w:rPr>
      </w:r>
    </w:p>
    <w:p w14:paraId="209CEB4E">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Талдау кезінде,</w:t>
      </w:r>
      <w:r>
        <w:rPr>
          <w:rFonts w:ascii="Times New Roman" w:hAnsi="Times New Roman" w:eastAsia="Times New Roman" w:cs="Times New Roman"/>
          <w:sz w:val="28"/>
          <w:szCs w:val="28"/>
          <w:lang w:val="kk-KZ" w:eastAsia="ru-RU"/>
        </w:rPr>
        <w:t xml:space="preserve"> мемлекеттік сатып алулар барысында «бір көзден алу» тәсілімен жасалған шарттар басым екенін көрсетті. Мұндай тәсілді негізсіз қолдану бәсекелестікті шектеу және өнім берушіні таңдауда субъективті шешім қабылдау тәуекелін туындатуы мүмкін екені ескерілді. </w:t>
      </w:r>
      <w:r>
        <w:rPr>
          <w:rFonts w:ascii="Times New Roman" w:hAnsi="Times New Roman" w:eastAsia="Times New Roman" w:cs="Times New Roman"/>
          <w:sz w:val="28"/>
          <w:szCs w:val="28"/>
          <w:lang w:val="kk-KZ" w:eastAsia="ru-RU"/>
        </w:rPr>
      </w:r>
    </w:p>
    <w:p w14:paraId="1645FF21">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Нәтижесінде, мемлекеттік сатып алуларды ұйымдастыру кезінде заңнама талаптарын сақтау қамтамасыз етілуде. </w:t>
      </w:r>
      <w:r>
        <w:rPr>
          <w:rFonts w:ascii="Times New Roman" w:hAnsi="Times New Roman" w:eastAsia="Times New Roman" w:cs="Times New Roman"/>
          <w:sz w:val="28"/>
          <w:szCs w:val="28"/>
          <w:lang w:val="kk-KZ" w:eastAsia="ru-RU"/>
        </w:rPr>
      </w:r>
    </w:p>
    <w:p w14:paraId="7809498A">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bCs/>
          <w:sz w:val="28"/>
          <w:szCs w:val="28"/>
          <w:lang w:val="kk-KZ" w:eastAsia="ru-RU"/>
        </w:rPr>
        <w:t xml:space="preserve">Қорыта айтқанда, </w:t>
      </w:r>
      <w:r>
        <w:rPr>
          <w:rFonts w:ascii="Times New Roman" w:hAnsi="Times New Roman" w:eastAsia="Times New Roman" w:cs="Times New Roman"/>
          <w:sz w:val="28"/>
          <w:szCs w:val="28"/>
          <w:lang w:val="kk-KZ" w:eastAsia="ru-RU"/>
        </w:rPr>
        <w:t xml:space="preserve">сыртқы талдау нәтижелері бойынша берілген ұсынымдарды орындау шеңберінде Институт тарапынан тиісті шаралар қабылданды.</w:t>
      </w:r>
      <w:r>
        <w:rPr>
          <w:rFonts w:ascii="Times New Roman" w:hAnsi="Times New Roman" w:eastAsia="Times New Roman" w:cs="Times New Roman"/>
          <w:sz w:val="28"/>
          <w:szCs w:val="28"/>
          <w:lang w:val="kk-KZ" w:eastAsia="ru-RU"/>
        </w:rPr>
      </w:r>
    </w:p>
    <w:p w14:paraId="5773483D">
      <w:pPr>
        <w:pBd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val="kk-KZ" w:eastAsia="ru-RU"/>
        </w:rPr>
        <w:t xml:space="preserve">Сонымен бірге, Сот сараптамалары орталығының келісімін, қосымша қаржыландыруды немесе штаттық бірліктерді енгізуді талап ететін жекелеген ұсынымдар бойынша тиісті ұсыныстар жолданып, оларды іске асыру жұмыстары жалғасуда. </w:t>
      </w:r>
      <w:r>
        <w:rPr>
          <w:rFonts w:ascii="Times New Roman" w:hAnsi="Times New Roman" w:eastAsia="Times New Roman" w:cs="Times New Roman"/>
          <w:sz w:val="28"/>
          <w:szCs w:val="28"/>
          <w:lang w:val="kk-KZ" w:eastAsia="ru-RU"/>
        </w:rPr>
      </w:r>
    </w:p>
    <w:sectPr>
      <w:footnotePr/>
      <w:endnotePr/>
      <w:type w:val="nextPage"/>
      <w:pgSz w:h="16838" w:orient="portrait" w:w="11906"/>
      <w:pgMar w:top="851" w:right="850" w:bottom="851" w:left="170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line="240" w:lineRule="auto"/>
        <w:ind/>
        <w:rPr/>
      </w:pPr>
      <w:r>
        <w:separator/>
      </w:r>
      <w:r/>
    </w:p>
  </w:endnote>
  <w:endnote w:type="continuationSeparator" w:id="0">
    <w:p>
      <w:pPr>
        <w:pBdr/>
        <w:spacing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before="0" w:line="276" w:lineRule="auto"/>
        <w:ind/>
        <w:rPr/>
      </w:pPr>
      <w:r>
        <w:separator/>
      </w:r>
      <w:r/>
    </w:p>
  </w:footnote>
  <w:footnote w:type="continuationSeparator" w:id="0">
    <w:p>
      <w:pPr>
        <w:pBdr/>
        <w:spacing w:after="0" w:before="0" w:line="276"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0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0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0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0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0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0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0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0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0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0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0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0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0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0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0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0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0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0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0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0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0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0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0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0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0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0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0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0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0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0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0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0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0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0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0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0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0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0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0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0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0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0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0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0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0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0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0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0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0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0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0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0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0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0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0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0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70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70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70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70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0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0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0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0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0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0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0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0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01"/>
    <w:next w:val="701"/>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01"/>
    <w:next w:val="701"/>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01"/>
    <w:next w:val="701"/>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01"/>
    <w:next w:val="701"/>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01"/>
    <w:next w:val="701"/>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01"/>
    <w:next w:val="701"/>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01"/>
    <w:next w:val="701"/>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01"/>
    <w:next w:val="701"/>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01"/>
    <w:next w:val="701"/>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numbering" w:styleId="149" w:default="1">
    <w:name w:val="No List"/>
    <w:uiPriority w:val="99"/>
    <w:semiHidden/>
    <w:unhideWhenUsed/>
    <w:pPr>
      <w:pBdr/>
      <w:spacing/>
      <w:ind/>
    </w:pPr>
  </w:style>
  <w:style w:type="character" w:styleId="150">
    <w:name w:val="Heading 1 Char"/>
    <w:basedOn w:val="702"/>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02"/>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02"/>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02"/>
    <w:link w:val="142"/>
    <w:uiPriority w:val="9"/>
    <w:pPr>
      <w:pBdr/>
      <w:spacing/>
      <w:ind/>
    </w:pPr>
    <w:rPr>
      <w:rFonts w:ascii="Arial" w:hAnsi="Arial" w:eastAsia="Arial" w:cs="Arial"/>
      <w:i/>
      <w:iCs/>
      <w:color w:val="0f4761" w:themeColor="accent1" w:themeShade="BF"/>
    </w:rPr>
  </w:style>
  <w:style w:type="character" w:styleId="154">
    <w:name w:val="Heading 5 Char"/>
    <w:basedOn w:val="702"/>
    <w:link w:val="143"/>
    <w:uiPriority w:val="9"/>
    <w:pPr>
      <w:pBdr/>
      <w:spacing/>
      <w:ind/>
    </w:pPr>
    <w:rPr>
      <w:rFonts w:ascii="Arial" w:hAnsi="Arial" w:eastAsia="Arial" w:cs="Arial"/>
      <w:color w:val="0f4761" w:themeColor="accent1" w:themeShade="BF"/>
    </w:rPr>
  </w:style>
  <w:style w:type="character" w:styleId="155">
    <w:name w:val="Heading 6 Char"/>
    <w:basedOn w:val="702"/>
    <w:link w:val="144"/>
    <w:uiPriority w:val="9"/>
    <w:pPr>
      <w:pBdr/>
      <w:spacing/>
      <w:ind/>
    </w:pPr>
    <w:rPr>
      <w:rFonts w:ascii="Arial" w:hAnsi="Arial" w:eastAsia="Arial" w:cs="Arial"/>
      <w:i/>
      <w:iCs/>
      <w:color w:val="595959" w:themeColor="text1" w:themeTint="A6"/>
    </w:rPr>
  </w:style>
  <w:style w:type="character" w:styleId="156">
    <w:name w:val="Heading 7 Char"/>
    <w:basedOn w:val="702"/>
    <w:link w:val="145"/>
    <w:uiPriority w:val="9"/>
    <w:pPr>
      <w:pBdr/>
      <w:spacing/>
      <w:ind/>
    </w:pPr>
    <w:rPr>
      <w:rFonts w:ascii="Arial" w:hAnsi="Arial" w:eastAsia="Arial" w:cs="Arial"/>
      <w:color w:val="595959" w:themeColor="text1" w:themeTint="A6"/>
    </w:rPr>
  </w:style>
  <w:style w:type="character" w:styleId="157">
    <w:name w:val="Heading 8 Char"/>
    <w:basedOn w:val="702"/>
    <w:link w:val="146"/>
    <w:uiPriority w:val="9"/>
    <w:pPr>
      <w:pBdr/>
      <w:spacing/>
      <w:ind/>
    </w:pPr>
    <w:rPr>
      <w:rFonts w:ascii="Arial" w:hAnsi="Arial" w:eastAsia="Arial" w:cs="Arial"/>
      <w:i/>
      <w:iCs/>
      <w:color w:val="272727" w:themeColor="text1" w:themeTint="D8"/>
    </w:rPr>
  </w:style>
  <w:style w:type="character" w:styleId="158">
    <w:name w:val="Heading 9 Char"/>
    <w:basedOn w:val="702"/>
    <w:link w:val="147"/>
    <w:uiPriority w:val="9"/>
    <w:pPr>
      <w:pBdr/>
      <w:spacing/>
      <w:ind/>
    </w:pPr>
    <w:rPr>
      <w:rFonts w:ascii="Arial" w:hAnsi="Arial" w:eastAsia="Arial" w:cs="Arial"/>
      <w:i/>
      <w:iCs/>
      <w:color w:val="272727" w:themeColor="text1" w:themeTint="D8"/>
    </w:rPr>
  </w:style>
  <w:style w:type="paragraph" w:styleId="159">
    <w:name w:val="Title"/>
    <w:basedOn w:val="701"/>
    <w:next w:val="701"/>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02"/>
    <w:link w:val="159"/>
    <w:uiPriority w:val="10"/>
    <w:pPr>
      <w:pBdr/>
      <w:spacing/>
      <w:ind/>
    </w:pPr>
    <w:rPr>
      <w:rFonts w:ascii="Arial" w:hAnsi="Arial" w:eastAsia="Arial" w:cs="Arial"/>
      <w:spacing w:val="-10"/>
      <w:sz w:val="56"/>
      <w:szCs w:val="56"/>
    </w:rPr>
  </w:style>
  <w:style w:type="paragraph" w:styleId="161">
    <w:name w:val="Subtitle"/>
    <w:basedOn w:val="701"/>
    <w:next w:val="701"/>
    <w:link w:val="162"/>
    <w:uiPriority w:val="11"/>
    <w:qFormat/>
    <w:pPr>
      <w:numPr>
        <w:ilvl w:val="1"/>
      </w:numPr>
      <w:pBdr/>
      <w:spacing/>
      <w:ind/>
    </w:pPr>
    <w:rPr>
      <w:color w:val="595959" w:themeColor="text1" w:themeTint="A6"/>
      <w:spacing w:val="15"/>
      <w:sz w:val="28"/>
      <w:szCs w:val="28"/>
    </w:rPr>
  </w:style>
  <w:style w:type="character" w:styleId="162">
    <w:name w:val="Subtitle Char"/>
    <w:basedOn w:val="702"/>
    <w:link w:val="161"/>
    <w:uiPriority w:val="11"/>
    <w:pPr>
      <w:pBdr/>
      <w:spacing/>
      <w:ind/>
    </w:pPr>
    <w:rPr>
      <w:color w:val="595959" w:themeColor="text1" w:themeTint="A6"/>
      <w:spacing w:val="15"/>
      <w:sz w:val="28"/>
      <w:szCs w:val="28"/>
    </w:rPr>
  </w:style>
  <w:style w:type="paragraph" w:styleId="163">
    <w:name w:val="Quote"/>
    <w:basedOn w:val="701"/>
    <w:next w:val="701"/>
    <w:link w:val="164"/>
    <w:uiPriority w:val="29"/>
    <w:qFormat/>
    <w:pPr>
      <w:pBdr/>
      <w:spacing w:before="160"/>
      <w:ind/>
      <w:jc w:val="center"/>
    </w:pPr>
    <w:rPr>
      <w:i/>
      <w:iCs/>
      <w:color w:val="404040" w:themeColor="text1" w:themeTint="BF"/>
    </w:rPr>
  </w:style>
  <w:style w:type="character" w:styleId="164">
    <w:name w:val="Quote Char"/>
    <w:basedOn w:val="702"/>
    <w:link w:val="163"/>
    <w:uiPriority w:val="29"/>
    <w:pPr>
      <w:pBdr/>
      <w:spacing/>
      <w:ind/>
    </w:pPr>
    <w:rPr>
      <w:i/>
      <w:iCs/>
      <w:color w:val="404040" w:themeColor="text1" w:themeTint="BF"/>
    </w:rPr>
  </w:style>
  <w:style w:type="paragraph" w:styleId="165">
    <w:name w:val="List Paragraph"/>
    <w:basedOn w:val="701"/>
    <w:uiPriority w:val="34"/>
    <w:qFormat/>
    <w:pPr>
      <w:pBdr/>
      <w:spacing/>
      <w:ind w:left="720"/>
      <w:contextualSpacing w:val="true"/>
    </w:pPr>
  </w:style>
  <w:style w:type="character" w:styleId="166">
    <w:name w:val="Intense Emphasis"/>
    <w:basedOn w:val="702"/>
    <w:uiPriority w:val="21"/>
    <w:qFormat/>
    <w:pPr>
      <w:pBdr/>
      <w:spacing/>
      <w:ind/>
    </w:pPr>
    <w:rPr>
      <w:i/>
      <w:iCs/>
      <w:color w:val="0f4761" w:themeColor="accent1" w:themeShade="BF"/>
    </w:rPr>
  </w:style>
  <w:style w:type="paragraph" w:styleId="167">
    <w:name w:val="Intense Quote"/>
    <w:basedOn w:val="701"/>
    <w:next w:val="701"/>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02"/>
    <w:link w:val="167"/>
    <w:uiPriority w:val="30"/>
    <w:pPr>
      <w:pBdr/>
      <w:spacing/>
      <w:ind/>
    </w:pPr>
    <w:rPr>
      <w:i/>
      <w:iCs/>
      <w:color w:val="0f4761" w:themeColor="accent1" w:themeShade="BF"/>
    </w:rPr>
  </w:style>
  <w:style w:type="character" w:styleId="169">
    <w:name w:val="Intense Reference"/>
    <w:basedOn w:val="702"/>
    <w:uiPriority w:val="32"/>
    <w:qFormat/>
    <w:pPr>
      <w:pBdr/>
      <w:spacing/>
      <w:ind/>
    </w:pPr>
    <w:rPr>
      <w:b/>
      <w:bCs/>
      <w:smallCaps/>
      <w:color w:val="0f4761" w:themeColor="accent1" w:themeShade="BF"/>
      <w:spacing w:val="5"/>
    </w:rPr>
  </w:style>
  <w:style w:type="paragraph" w:styleId="170">
    <w:name w:val="No Spacing"/>
    <w:basedOn w:val="701"/>
    <w:uiPriority w:val="1"/>
    <w:qFormat/>
    <w:pPr>
      <w:pBdr/>
      <w:spacing w:after="0" w:line="240" w:lineRule="auto"/>
      <w:ind/>
    </w:pPr>
  </w:style>
  <w:style w:type="character" w:styleId="171">
    <w:name w:val="Subtle Emphasis"/>
    <w:basedOn w:val="702"/>
    <w:uiPriority w:val="19"/>
    <w:qFormat/>
    <w:pPr>
      <w:pBdr/>
      <w:spacing/>
      <w:ind/>
    </w:pPr>
    <w:rPr>
      <w:i/>
      <w:iCs/>
      <w:color w:val="404040" w:themeColor="text1" w:themeTint="BF"/>
    </w:rPr>
  </w:style>
  <w:style w:type="character" w:styleId="172">
    <w:name w:val="Emphasis"/>
    <w:basedOn w:val="702"/>
    <w:uiPriority w:val="20"/>
    <w:qFormat/>
    <w:pPr>
      <w:pBdr/>
      <w:spacing/>
      <w:ind/>
    </w:pPr>
    <w:rPr>
      <w:i/>
      <w:iCs/>
    </w:rPr>
  </w:style>
  <w:style w:type="character" w:styleId="173">
    <w:name w:val="Strong"/>
    <w:basedOn w:val="702"/>
    <w:uiPriority w:val="22"/>
    <w:qFormat/>
    <w:pPr>
      <w:pBdr/>
      <w:spacing/>
      <w:ind/>
    </w:pPr>
    <w:rPr>
      <w:b/>
      <w:bCs/>
    </w:rPr>
  </w:style>
  <w:style w:type="character" w:styleId="174">
    <w:name w:val="Subtle Reference"/>
    <w:basedOn w:val="702"/>
    <w:uiPriority w:val="31"/>
    <w:qFormat/>
    <w:pPr>
      <w:pBdr/>
      <w:spacing/>
      <w:ind/>
    </w:pPr>
    <w:rPr>
      <w:smallCaps/>
      <w:color w:val="5a5a5a" w:themeColor="text1" w:themeTint="A5"/>
    </w:rPr>
  </w:style>
  <w:style w:type="character" w:styleId="175">
    <w:name w:val="Book Title"/>
    <w:basedOn w:val="702"/>
    <w:uiPriority w:val="33"/>
    <w:qFormat/>
    <w:pPr>
      <w:pBdr/>
      <w:spacing/>
      <w:ind/>
    </w:pPr>
    <w:rPr>
      <w:b/>
      <w:bCs/>
      <w:i/>
      <w:iCs/>
      <w:spacing w:val="5"/>
    </w:rPr>
  </w:style>
  <w:style w:type="paragraph" w:styleId="176">
    <w:name w:val="Header"/>
    <w:basedOn w:val="701"/>
    <w:link w:val="177"/>
    <w:uiPriority w:val="99"/>
    <w:unhideWhenUsed/>
    <w:pPr>
      <w:pBdr/>
      <w:tabs>
        <w:tab w:val="center" w:leader="none" w:pos="4844"/>
        <w:tab w:val="right" w:leader="none" w:pos="9689"/>
      </w:tabs>
      <w:spacing w:after="0" w:line="240" w:lineRule="auto"/>
      <w:ind/>
    </w:pPr>
  </w:style>
  <w:style w:type="character" w:styleId="177">
    <w:name w:val="Header Char"/>
    <w:basedOn w:val="702"/>
    <w:link w:val="176"/>
    <w:uiPriority w:val="99"/>
    <w:pPr>
      <w:pBdr/>
      <w:spacing/>
      <w:ind/>
    </w:pPr>
  </w:style>
  <w:style w:type="paragraph" w:styleId="178">
    <w:name w:val="Footer"/>
    <w:basedOn w:val="701"/>
    <w:link w:val="179"/>
    <w:uiPriority w:val="99"/>
    <w:unhideWhenUsed/>
    <w:pPr>
      <w:pBdr/>
      <w:tabs>
        <w:tab w:val="center" w:leader="none" w:pos="4844"/>
        <w:tab w:val="right" w:leader="none" w:pos="9689"/>
      </w:tabs>
      <w:spacing w:after="0" w:line="240" w:lineRule="auto"/>
      <w:ind/>
    </w:pPr>
  </w:style>
  <w:style w:type="character" w:styleId="179">
    <w:name w:val="Footer Char"/>
    <w:basedOn w:val="702"/>
    <w:link w:val="178"/>
    <w:uiPriority w:val="99"/>
    <w:pPr>
      <w:pBdr/>
      <w:spacing/>
      <w:ind/>
    </w:pPr>
  </w:style>
  <w:style w:type="paragraph" w:styleId="180">
    <w:name w:val="Caption"/>
    <w:basedOn w:val="701"/>
    <w:next w:val="701"/>
    <w:uiPriority w:val="35"/>
    <w:unhideWhenUsed/>
    <w:qFormat/>
    <w:pPr>
      <w:pBdr/>
      <w:spacing w:after="200" w:line="240" w:lineRule="auto"/>
      <w:ind/>
    </w:pPr>
    <w:rPr>
      <w:i/>
      <w:iCs/>
      <w:color w:val="0e2841" w:themeColor="text2"/>
      <w:sz w:val="18"/>
      <w:szCs w:val="18"/>
    </w:rPr>
  </w:style>
  <w:style w:type="paragraph" w:styleId="181">
    <w:name w:val="footnote text"/>
    <w:basedOn w:val="701"/>
    <w:link w:val="182"/>
    <w:uiPriority w:val="99"/>
    <w:semiHidden/>
    <w:unhideWhenUsed/>
    <w:pPr>
      <w:pBdr/>
      <w:spacing w:after="0" w:line="240" w:lineRule="auto"/>
      <w:ind/>
    </w:pPr>
    <w:rPr>
      <w:sz w:val="20"/>
      <w:szCs w:val="20"/>
    </w:rPr>
  </w:style>
  <w:style w:type="character" w:styleId="182">
    <w:name w:val="Footnote Text Char"/>
    <w:basedOn w:val="702"/>
    <w:link w:val="181"/>
    <w:uiPriority w:val="99"/>
    <w:semiHidden/>
    <w:pPr>
      <w:pBdr/>
      <w:spacing/>
      <w:ind/>
    </w:pPr>
    <w:rPr>
      <w:sz w:val="20"/>
      <w:szCs w:val="20"/>
    </w:rPr>
  </w:style>
  <w:style w:type="character" w:styleId="183">
    <w:name w:val="footnote reference"/>
    <w:basedOn w:val="702"/>
    <w:uiPriority w:val="99"/>
    <w:semiHidden/>
    <w:unhideWhenUsed/>
    <w:pPr>
      <w:pBdr/>
      <w:spacing/>
      <w:ind/>
    </w:pPr>
    <w:rPr>
      <w:vertAlign w:val="superscript"/>
    </w:rPr>
  </w:style>
  <w:style w:type="paragraph" w:styleId="184">
    <w:name w:val="endnote text"/>
    <w:basedOn w:val="701"/>
    <w:link w:val="185"/>
    <w:uiPriority w:val="99"/>
    <w:semiHidden/>
    <w:unhideWhenUsed/>
    <w:pPr>
      <w:pBdr/>
      <w:spacing w:after="0" w:line="240" w:lineRule="auto"/>
      <w:ind/>
    </w:pPr>
    <w:rPr>
      <w:sz w:val="20"/>
      <w:szCs w:val="20"/>
    </w:rPr>
  </w:style>
  <w:style w:type="character" w:styleId="185">
    <w:name w:val="Endnote Text Char"/>
    <w:basedOn w:val="702"/>
    <w:link w:val="184"/>
    <w:uiPriority w:val="99"/>
    <w:semiHidden/>
    <w:pPr>
      <w:pBdr/>
      <w:spacing/>
      <w:ind/>
    </w:pPr>
    <w:rPr>
      <w:sz w:val="20"/>
      <w:szCs w:val="20"/>
    </w:rPr>
  </w:style>
  <w:style w:type="character" w:styleId="186">
    <w:name w:val="endnote reference"/>
    <w:basedOn w:val="702"/>
    <w:uiPriority w:val="99"/>
    <w:semiHidden/>
    <w:unhideWhenUsed/>
    <w:pPr>
      <w:pBdr/>
      <w:spacing/>
      <w:ind/>
    </w:pPr>
    <w:rPr>
      <w:vertAlign w:val="superscript"/>
    </w:rPr>
  </w:style>
  <w:style w:type="character" w:styleId="187">
    <w:name w:val="Hyperlink"/>
    <w:basedOn w:val="702"/>
    <w:uiPriority w:val="99"/>
    <w:unhideWhenUsed/>
    <w:pPr>
      <w:pBdr/>
      <w:spacing/>
      <w:ind/>
    </w:pPr>
    <w:rPr>
      <w:color w:val="0563c1" w:themeColor="hyperlink"/>
      <w:u w:val="single"/>
    </w:rPr>
  </w:style>
  <w:style w:type="character" w:styleId="188">
    <w:name w:val="FollowedHyperlink"/>
    <w:basedOn w:val="702"/>
    <w:uiPriority w:val="99"/>
    <w:semiHidden/>
    <w:unhideWhenUsed/>
    <w:pPr>
      <w:pBdr/>
      <w:spacing/>
      <w:ind/>
    </w:pPr>
    <w:rPr>
      <w:color w:val="954f72" w:themeColor="followedHyperlink"/>
      <w:u w:val="single"/>
    </w:rPr>
  </w:style>
  <w:style w:type="paragraph" w:styleId="189">
    <w:name w:val="toc 1"/>
    <w:basedOn w:val="701"/>
    <w:next w:val="701"/>
    <w:uiPriority w:val="39"/>
    <w:unhideWhenUsed/>
    <w:pPr>
      <w:pBdr/>
      <w:spacing w:after="100"/>
      <w:ind/>
    </w:pPr>
  </w:style>
  <w:style w:type="paragraph" w:styleId="190">
    <w:name w:val="toc 2"/>
    <w:basedOn w:val="701"/>
    <w:next w:val="701"/>
    <w:uiPriority w:val="39"/>
    <w:unhideWhenUsed/>
    <w:pPr>
      <w:pBdr/>
      <w:spacing w:after="100"/>
      <w:ind w:left="220"/>
    </w:pPr>
  </w:style>
  <w:style w:type="paragraph" w:styleId="191">
    <w:name w:val="toc 3"/>
    <w:basedOn w:val="701"/>
    <w:next w:val="701"/>
    <w:uiPriority w:val="39"/>
    <w:unhideWhenUsed/>
    <w:pPr>
      <w:pBdr/>
      <w:spacing w:after="100"/>
      <w:ind w:left="440"/>
    </w:pPr>
  </w:style>
  <w:style w:type="paragraph" w:styleId="192">
    <w:name w:val="toc 4"/>
    <w:basedOn w:val="701"/>
    <w:next w:val="701"/>
    <w:uiPriority w:val="39"/>
    <w:unhideWhenUsed/>
    <w:pPr>
      <w:pBdr/>
      <w:spacing w:after="100"/>
      <w:ind w:left="660"/>
    </w:pPr>
  </w:style>
  <w:style w:type="paragraph" w:styleId="193">
    <w:name w:val="toc 5"/>
    <w:basedOn w:val="701"/>
    <w:next w:val="701"/>
    <w:uiPriority w:val="39"/>
    <w:unhideWhenUsed/>
    <w:pPr>
      <w:pBdr/>
      <w:spacing w:after="100"/>
      <w:ind w:left="880"/>
    </w:pPr>
  </w:style>
  <w:style w:type="paragraph" w:styleId="194">
    <w:name w:val="toc 6"/>
    <w:basedOn w:val="701"/>
    <w:next w:val="701"/>
    <w:uiPriority w:val="39"/>
    <w:unhideWhenUsed/>
    <w:pPr>
      <w:pBdr/>
      <w:spacing w:after="100"/>
      <w:ind w:left="1100"/>
    </w:pPr>
  </w:style>
  <w:style w:type="paragraph" w:styleId="195">
    <w:name w:val="toc 7"/>
    <w:basedOn w:val="701"/>
    <w:next w:val="701"/>
    <w:uiPriority w:val="39"/>
    <w:unhideWhenUsed/>
    <w:pPr>
      <w:pBdr/>
      <w:spacing w:after="100"/>
      <w:ind w:left="1320"/>
    </w:pPr>
  </w:style>
  <w:style w:type="paragraph" w:styleId="196">
    <w:name w:val="toc 8"/>
    <w:basedOn w:val="701"/>
    <w:next w:val="701"/>
    <w:uiPriority w:val="39"/>
    <w:unhideWhenUsed/>
    <w:pPr>
      <w:pBdr/>
      <w:spacing w:after="100"/>
      <w:ind w:left="1540"/>
    </w:pPr>
  </w:style>
  <w:style w:type="paragraph" w:styleId="197">
    <w:name w:val="toc 9"/>
    <w:basedOn w:val="701"/>
    <w:next w:val="701"/>
    <w:uiPriority w:val="39"/>
    <w:unhideWhenUsed/>
    <w:pPr>
      <w:pBdr/>
      <w:spacing w:after="100"/>
      <w:ind w:left="1760"/>
    </w:pPr>
  </w:style>
  <w:style w:type="character" w:styleId="198">
    <w:name w:val="Placeholder Text"/>
    <w:basedOn w:val="702"/>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1"/>
    <w:next w:val="701"/>
    <w:uiPriority w:val="99"/>
    <w:unhideWhenUsed/>
    <w:pPr>
      <w:pBdr/>
      <w:spacing w:after="0" w:afterAutospacing="0"/>
      <w:ind/>
    </w:pPr>
  </w:style>
  <w:style w:type="paragraph" w:styleId="701" w:default="1">
    <w:name w:val="Normal"/>
    <w:uiPriority w:val="0"/>
    <w:qFormat/>
    <w:pPr>
      <w:pBdr/>
      <w:spacing w:after="200" w:line="276" w:lineRule="auto"/>
      <w:ind/>
    </w:pPr>
    <w:rPr>
      <w:rFonts w:asciiTheme="minorHAnsi" w:hAnsiTheme="minorHAnsi" w:eastAsiaTheme="minorHAnsi" w:cstheme="minorBidi"/>
      <w:sz w:val="22"/>
      <w:szCs w:val="22"/>
      <w:lang w:val="ru-RU" w:eastAsia="en-US" w:bidi="ar-SA"/>
    </w:rPr>
  </w:style>
  <w:style w:type="character" w:styleId="702" w:default="1">
    <w:name w:val="Default Paragraph Font"/>
    <w:uiPriority w:val="1"/>
    <w:semiHidden/>
    <w:unhideWhenUsed/>
    <w:qFormat/>
    <w:pPr>
      <w:pBdr/>
      <w:spacing/>
      <w:ind/>
    </w:pPr>
  </w:style>
  <w:style w:type="table" w:styleId="703"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04">
    <w:name w:val="Normal (Web)"/>
    <w:basedOn w:val="701"/>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ONLYOFFICE/9.2.0.100</Application>
  <DocSecurity>0</DocSecurity>
  <ScaleCrop>0</ScaleCrop>
  <HeadingPairs>
    <vt:vector size="0" baseType="variant"/>
  </HeadingPairs>
  <TitlesOfParts>
    <vt:vector size="0" baseType="lpstr"/>
  </TitlesOfParts>
  <LinksUpToDate>0</LinksUpToD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revision>7</cp:revision>
  <dcterms:created xsi:type="dcterms:W3CDTF">2026-08-27T11:25:00Z</dcterms:created>
  <dcterms:modified xsi:type="dcterms:W3CDTF">2026-09-03T09:00:06Z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eyJoZGlkIjoiMmE3MGNlMDdjZmEzYjRkYzk3OTFmMDA0ZTkxYjVmYmIifQ==</vt:lpwstr>
  </property>
  <property fmtid="{D5CDD505-2E9C-101B-9397-08002B2CF9AE}" pid="3" name="KSOProductBuildVer">
    <vt:lpwstr>1049-12.1.0.28032</vt:lpwstr>
  </property>
  <property fmtid="{D5CDD505-2E9C-101B-9397-08002B2CF9AE}" pid="4" name="ICV">
    <vt:lpwstr>9071F93AF979428E8BA589788732A4D3_12</vt:lpwstr>
  </property>
</Properties>
</file>