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7"/>
        <w:pBdr/>
        <w:spacing/>
        <w:ind/>
        <w:contextualSpacing w:val="true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Информация </w:t>
      </w:r>
      <w:r>
        <w:rPr>
          <w:b/>
          <w:bCs/>
          <w:color w:val="000000" w:themeColor="text1"/>
          <w:sz w:val="28"/>
          <w:szCs w:val="28"/>
        </w:rPr>
      </w:r>
    </w:p>
    <w:p w14:paraId="32533796">
      <w:pPr>
        <w:pStyle w:val="667"/>
        <w:pBdr/>
        <w:spacing/>
        <w:ind/>
        <w:contextualSpacing w:val="true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о результатах внешнего анализа коррупционных рисков</w:t>
      </w:r>
      <w:r>
        <w:rPr>
          <w:b/>
          <w:bCs/>
          <w:color w:val="000000" w:themeColor="text1"/>
          <w:sz w:val="28"/>
          <w:szCs w:val="28"/>
        </w:rPr>
      </w:r>
      <w:r/>
    </w:p>
    <w:p>
      <w:pPr>
        <w:pStyle w:val="667"/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Объект анализа: </w:t>
      </w:r>
      <w:r>
        <w:rPr>
          <w:sz w:val="28"/>
          <w:szCs w:val="28"/>
        </w:rPr>
        <w:t xml:space="preserve">территориальное подразделение республиканского государственного судебно-экспертного учреждения (Восточно-Казахстанская область)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Период анализа: </w:t>
      </w:r>
      <w:r>
        <w:rPr>
          <w:sz w:val="28"/>
          <w:szCs w:val="28"/>
        </w:rPr>
        <w:t xml:space="preserve">2023–2025 годы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анализа выявлено 10 коррупционных рисков, обусловленных пробелами правового регулирования, недостаточной прозрачностью финансово-хозяйственных процедур и наличием дискреционных полномочий должностных лиц. По каждому риску выработаны рекомендации,</w:t>
      </w:r>
      <w:r>
        <w:rPr>
          <w:sz w:val="28"/>
          <w:szCs w:val="28"/>
        </w:rPr>
        <w:t xml:space="preserve"> направленные уполномоченным органам отрасли.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Приёмка товаров и услуг по договорам поставки.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объёма и качества поставляемых товарно-материальных ценностей носит формальный характер, решение о расчётах с поставщиком принимается единолично руково</w:t>
      </w:r>
      <w:r>
        <w:rPr>
          <w:sz w:val="28"/>
          <w:szCs w:val="28"/>
        </w:rPr>
        <w:t xml:space="preserve">дителем без коллегиальной приёмки и независимого подтверждения факта поставки.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утвердить регламент приёмки с обязательным созданием комиссий из представителей разных подразделений и </w:t>
      </w:r>
      <w:r>
        <w:rPr>
          <w:i/>
          <w:iCs/>
          <w:sz w:val="28"/>
          <w:szCs w:val="28"/>
        </w:rPr>
        <w:t xml:space="preserve">фотофиксацией</w:t>
      </w:r>
      <w:r>
        <w:rPr>
          <w:i/>
          <w:iCs/>
          <w:sz w:val="28"/>
          <w:szCs w:val="28"/>
        </w:rPr>
        <w:t xml:space="preserve"> процесса поставки.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Неэффективное использов</w:t>
      </w:r>
      <w:r>
        <w:rPr>
          <w:b/>
          <w:bCs/>
          <w:sz w:val="28"/>
          <w:szCs w:val="28"/>
        </w:rPr>
        <w:t xml:space="preserve">ание бюджетных средств при закупе оборудования.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Часть дорогостоящего специализированного оборудования, приобретённого за счёт бюджета, длительное время </w:t>
      </w:r>
      <w:r>
        <w:rPr>
          <w:sz w:val="28"/>
          <w:szCs w:val="28"/>
        </w:rPr>
        <w:t xml:space="preserve">простаива</w:t>
      </w:r>
      <w:r>
        <w:rPr>
          <w:sz w:val="28"/>
          <w:szCs w:val="28"/>
          <w:lang w:val="kk-KZ"/>
        </w:rPr>
        <w:t xml:space="preserve">л</w:t>
      </w:r>
      <w:r>
        <w:rPr>
          <w:sz w:val="28"/>
          <w:szCs w:val="28"/>
        </w:rPr>
        <w:t xml:space="preserve"> и не </w:t>
      </w:r>
      <w:r>
        <w:rPr>
          <w:sz w:val="28"/>
          <w:szCs w:val="28"/>
        </w:rPr>
        <w:t xml:space="preserve">использ</w:t>
      </w:r>
      <w:r>
        <w:rPr>
          <w:sz w:val="28"/>
          <w:szCs w:val="28"/>
          <w:lang w:val="kk-KZ"/>
        </w:rPr>
        <w:t xml:space="preserve">овался</w:t>
      </w:r>
      <w:r>
        <w:rPr>
          <w:sz w:val="28"/>
          <w:szCs w:val="28"/>
        </w:rPr>
        <w:t xml:space="preserve"> по назначению из-за отсутствия подготовленной инфраструктуры и кадров на м</w:t>
      </w:r>
      <w:r>
        <w:rPr>
          <w:sz w:val="28"/>
          <w:szCs w:val="28"/>
        </w:rPr>
        <w:t xml:space="preserve">омент закупа.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внедрить обязательную оценку готовности инфраструктуры перед закупом («паспорт готовности»), рассмотреть перераспределение простаивающего оборудования между подразделениями.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Эксплуатация вспомогательных объектов недвижимости</w:t>
      </w:r>
      <w:r>
        <w:rPr>
          <w:b/>
          <w:bCs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использованием вспомогательных зданий (склад, гараж) непрозрачен, что создаёт условия для их неучтённого использования в личных целях без оформления официальной аренды.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провести комиссионную ревизию объектов с </w:t>
      </w:r>
      <w:r>
        <w:rPr>
          <w:i/>
          <w:iCs/>
          <w:sz w:val="28"/>
          <w:szCs w:val="28"/>
        </w:rPr>
        <w:t xml:space="preserve">фотофиксацией</w:t>
      </w:r>
      <w:r>
        <w:rPr>
          <w:i/>
          <w:iCs/>
          <w:sz w:val="28"/>
          <w:szCs w:val="28"/>
        </w:rPr>
        <w:t xml:space="preserve">, оф</w:t>
      </w:r>
      <w:r>
        <w:rPr>
          <w:i/>
          <w:iCs/>
          <w:sz w:val="28"/>
          <w:szCs w:val="28"/>
        </w:rPr>
        <w:t xml:space="preserve">ормить неиспользуемые площади через официальную аренду либо консервацию.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Непрозрачность операционных расходов.</w:t>
      </w:r>
      <w:r>
        <w:rPr>
          <w:sz w:val="28"/>
          <w:szCs w:val="28"/>
        </w:rPr>
      </w:r>
    </w:p>
    <w:p>
      <w:pPr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раздельного учёта затрат по бюджетной и приносящей доход деятельности создаёт условия для скрытого субсидирования платных услуг за </w:t>
      </w:r>
      <w:r>
        <w:rPr>
          <w:sz w:val="28"/>
          <w:szCs w:val="28"/>
        </w:rPr>
        <w:t xml:space="preserve">счёт бюджетных ассигнований.</w:t>
      </w:r>
      <w:r>
        <w:rPr>
          <w:sz w:val="28"/>
          <w:szCs w:val="28"/>
        </w:rPr>
      </w:r>
    </w:p>
    <w:p>
      <w:pPr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обеспечить раздельный бухгалтерский учёт по видам деятельности, провести внутреннюю ревизию операционных расходов.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Администрирование платных услуг и очерёдности исследований.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нагрузки между платн</w:t>
      </w:r>
      <w:r>
        <w:rPr>
          <w:sz w:val="28"/>
          <w:szCs w:val="28"/>
        </w:rPr>
        <w:t xml:space="preserve">ыми и бюджетными исследованиями осуществляется в «ручном режиме» без автоматизированного учёта очерёдности, что создаёт риск </w:t>
      </w:r>
      <w:r>
        <w:rPr>
          <w:sz w:val="28"/>
          <w:szCs w:val="28"/>
        </w:rPr>
        <w:t xml:space="preserve">приоритизации</w:t>
      </w:r>
      <w:r>
        <w:rPr>
          <w:sz w:val="28"/>
          <w:szCs w:val="28"/>
        </w:rPr>
        <w:t xml:space="preserve"> платных заказов в ущерб срокам бюджетных экспертиз.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внедрить автоматизированную электронную очередь, м</w:t>
      </w:r>
      <w:r>
        <w:rPr>
          <w:i/>
          <w:iCs/>
          <w:sz w:val="28"/>
          <w:szCs w:val="28"/>
        </w:rPr>
        <w:t xml:space="preserve">етодику отчислений от платных услуг на амортизацию оборудования, публиковать периодические отчёты о расходовании внебюджетных средств.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Корректировка данных в информационных системах.</w:t>
      </w:r>
      <w:r>
        <w:rPr>
          <w:sz w:val="28"/>
          <w:szCs w:val="28"/>
        </w:rPr>
      </w:r>
    </w:p>
    <w:p>
      <w:pPr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Процедура разблокировки и корректировки отдельных сведений (в частност</w:t>
      </w:r>
      <w:r>
        <w:rPr>
          <w:sz w:val="28"/>
          <w:szCs w:val="28"/>
        </w:rPr>
        <w:t xml:space="preserve">и, даты смерти) после истечения периода блокировки не имеет цифрового регламента и осуществляется по бумажным запросам без прозрачного протоколирования.</w:t>
      </w:r>
      <w:r>
        <w:rPr>
          <w:sz w:val="28"/>
          <w:szCs w:val="28"/>
        </w:rPr>
      </w:r>
    </w:p>
    <w:p>
      <w:pPr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перевести процедуру корректировки данных на автоматизированный протокол с обязательным п</w:t>
      </w:r>
      <w:r>
        <w:rPr>
          <w:i/>
          <w:iCs/>
          <w:sz w:val="28"/>
          <w:szCs w:val="28"/>
        </w:rPr>
        <w:t xml:space="preserve">риложением подтверждающих документов.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/>
      <w:bookmarkStart w:id="0" w:name="_GoBack"/>
      <w:r>
        <w:rPr>
          <w:b/>
          <w:bCs/>
          <w:sz w:val="28"/>
          <w:szCs w:val="28"/>
        </w:rPr>
        <w:t xml:space="preserve">7. Правовой вакуум в процедуре рецензирования экспертных заключений.</w:t>
      </w:r>
      <w:r>
        <w:rPr>
          <w:sz w:val="28"/>
          <w:szCs w:val="28"/>
        </w:rPr>
      </w:r>
    </w:p>
    <w:p>
      <w:pPr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Действовавший порядок рецензирования признан утратившим силу несколько лет назад, новый нормативный акт не принят; система контроля качества заключен</w:t>
      </w:r>
      <w:r>
        <w:rPr>
          <w:sz w:val="28"/>
          <w:szCs w:val="28"/>
        </w:rPr>
        <w:t xml:space="preserve">ий фактически функционирует вне утверждённых правил, что создаёт условия для избирательного применения инструментов контроля.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безотлагательно принять новые правила рецензирования, внедрить обезличенный («слепой») метод рецензирования, закреп</w:t>
      </w:r>
      <w:r>
        <w:rPr>
          <w:i/>
          <w:iCs/>
          <w:sz w:val="28"/>
          <w:szCs w:val="28"/>
        </w:rPr>
        <w:t xml:space="preserve">ить право эксперта на обжалование результатов в независимый орган.</w:t>
      </w:r>
      <w:bookmarkEnd w:id="0"/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Риски при регистрации смерти без проведения вскрытия.</w:t>
      </w:r>
      <w:r>
        <w:rPr>
          <w:sz w:val="28"/>
          <w:szCs w:val="28"/>
        </w:rPr>
      </w:r>
    </w:p>
    <w:p>
      <w:pPr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Действующее регулирование не содержит чётких оснований для замены полноценного вскрытия наружным осмотром, что создаёт условия для практики, при которой решение о необходимости вскрытия фактически принимается на коммерческой основе.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ограничи</w:t>
      </w:r>
      <w:r>
        <w:rPr>
          <w:i/>
          <w:iCs/>
          <w:sz w:val="28"/>
          <w:szCs w:val="28"/>
        </w:rPr>
        <w:t xml:space="preserve">ть использование соответствующей технической опции без обязательного приложения документов от правоохранительных органов, внедрить автоматическое уведомление надзорных органов о каждом таком случае.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Возмещение командировочных расходов при выездных экспе</w:t>
      </w:r>
      <w:r>
        <w:rPr>
          <w:b/>
          <w:bCs/>
          <w:sz w:val="28"/>
          <w:szCs w:val="28"/>
        </w:rPr>
        <w:t xml:space="preserve">ртизах.</w:t>
      </w:r>
      <w:r>
        <w:rPr>
          <w:sz w:val="28"/>
          <w:szCs w:val="28"/>
        </w:rPr>
      </w:r>
    </w:p>
    <w:p>
      <w:pPr>
        <w:pBdr/>
        <w:spacing/>
        <w:ind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Нормативный и финансовый вакуум в порядке покрытия транспортных расходов эксперта при выезде на объект исследования ставит организацию логистики в зависимость от инициатора экспертизы, что создаёт риск для процессуальной независимости.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</w:t>
      </w:r>
      <w:r>
        <w:rPr>
          <w:i/>
          <w:iCs/>
          <w:sz w:val="28"/>
          <w:szCs w:val="28"/>
        </w:rPr>
        <w:t xml:space="preserve">о: проработать механизм возмещения процессуальных издержек, создать межведомственную рабочую группу, усилить контроль за гарантиями обеспечения выезда в документах о назначении экспертизы.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Привлечение внештатных специалистов и возврат материалов без ис</w:t>
      </w:r>
      <w:r>
        <w:rPr>
          <w:b/>
          <w:bCs/>
          <w:sz w:val="28"/>
          <w:szCs w:val="28"/>
        </w:rPr>
        <w:t xml:space="preserve">полнения.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Отсутствуют нормативные сроки и единые требования к содержанию заключений привлекаемых специалистов, а также механизм возмещения затрат при возврате материалов экспертизы без исполнения на поздних стадиях работы.</w:t>
      </w:r>
      <w:r>
        <w:rPr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Рекомендовано: закрепить предельн</w:t>
      </w:r>
      <w:r>
        <w:rPr>
          <w:i/>
          <w:iCs/>
          <w:sz w:val="28"/>
          <w:szCs w:val="28"/>
        </w:rPr>
        <w:t xml:space="preserve">ые сроки и требования к заключениям специалистов, регламентировать порядок возврата материалов с обязательным возмещением фактически понесённых расходов.</w:t>
      </w:r>
      <w:r>
        <w:rPr>
          <w:sz w:val="28"/>
          <w:szCs w:val="28"/>
        </w:rPr>
      </w:r>
    </w:p>
    <w:p>
      <w:pPr>
        <w:pStyle w:val="668"/>
        <w:pBdr/>
        <w:spacing/>
        <w:ind w:firstLine="708"/>
        <w:contextualSpacing w:val="true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Вывод</w:t>
      </w:r>
      <w:r>
        <w:rPr>
          <w:b/>
          <w:bCs/>
          <w:color w:val="000000" w:themeColor="text1"/>
          <w:sz w:val="28"/>
          <w:szCs w:val="28"/>
        </w:rPr>
      </w:r>
    </w:p>
    <w:p>
      <w:pPr>
        <w:pBdr/>
        <w:spacing/>
        <w:ind w:firstLine="708"/>
        <w:contextualSpacing w:val="tru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Большинство выявленных рисков носит системный, </w:t>
      </w:r>
      <w:r>
        <w:rPr>
          <w:sz w:val="28"/>
          <w:szCs w:val="28"/>
        </w:rPr>
        <w:t xml:space="preserve">надведомственный</w:t>
      </w:r>
      <w:r>
        <w:rPr>
          <w:sz w:val="28"/>
          <w:szCs w:val="28"/>
        </w:rPr>
        <w:t xml:space="preserve"> характер и обусловлено пробелами</w:t>
      </w:r>
      <w:r>
        <w:rPr>
          <w:sz w:val="28"/>
          <w:szCs w:val="28"/>
        </w:rPr>
        <w:t xml:space="preserve"> нормативного регулирования, незавершённостью цифровой интеграции информационных систем и недостаточной прозрачностью финансово-хозяйственных процедур, а не только субъективными факторами внутри самого коллектива учреждения. Реализация рекомендаций позволи</w:t>
      </w:r>
      <w:r>
        <w:rPr>
          <w:sz w:val="28"/>
          <w:szCs w:val="28"/>
        </w:rPr>
        <w:t xml:space="preserve">т снизить коррупционные риски, повысить прозрачность процедур и обеспечить более эффективное использование бюджетных и внебюджетных средств.</w:t>
      </w:r>
      <w:r>
        <w:rPr>
          <w:sz w:val="28"/>
          <w:szCs w:val="28"/>
        </w:rPr>
      </w:r>
    </w:p>
    <w:sectPr>
      <w:footnotePr/>
      <w:endnotePr/>
      <w:type w:val="nextPage"/>
      <w:pgSz w:h="16838" w:orient="portrait" w:w="11906"/>
      <w:pgMar w:top="1440" w:right="1440" w:bottom="1440" w:left="1440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E2D3B"/>
    <w:lvl w:ilvl="0">
      <w:isLgl w:val="false"/>
      <w:lvlJc w:val="left"/>
      <w:lvlText w:val="●"/>
      <w:numFmt w:val="bullet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●"/>
      <w:numFmt w:val="bullet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●"/>
      <w:numFmt w:val="bullet"/>
      <w:pPr>
        <w:pBdr/>
        <w:spacing/>
        <w:ind w:hanging="360" w:left="6480"/>
      </w:pPr>
      <w:rPr/>
      <w:start w:val="1"/>
      <w:suff w:val="tab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7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7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7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7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66"/>
    <w:next w:val="666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6"/>
    <w:next w:val="66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6"/>
    <w:next w:val="66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73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73"/>
    <w:link w:val="6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73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73"/>
    <w:link w:val="67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73"/>
    <w:link w:val="67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73"/>
    <w:link w:val="67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7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7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7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73"/>
    <w:link w:val="67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6"/>
    <w:next w:val="66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7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6"/>
    <w:next w:val="66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7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7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6"/>
    <w:next w:val="66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7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7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7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7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7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7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7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6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73"/>
    <w:link w:val="176"/>
    <w:uiPriority w:val="99"/>
    <w:pPr>
      <w:pBdr/>
      <w:spacing/>
      <w:ind/>
    </w:pPr>
  </w:style>
  <w:style w:type="paragraph" w:styleId="178">
    <w:name w:val="Footer"/>
    <w:basedOn w:val="666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73"/>
    <w:link w:val="178"/>
    <w:uiPriority w:val="99"/>
    <w:pPr>
      <w:pBdr/>
      <w:spacing/>
      <w:ind/>
    </w:pPr>
  </w:style>
  <w:style w:type="paragraph" w:styleId="180">
    <w:name w:val="Caption"/>
    <w:basedOn w:val="666"/>
    <w:next w:val="66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182">
    <w:name w:val="Footnote Text Char"/>
    <w:basedOn w:val="673"/>
    <w:link w:val="681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673"/>
    <w:link w:val="684"/>
    <w:uiPriority w:val="99"/>
    <w:semiHidden/>
    <w:pPr>
      <w:pBdr/>
      <w:spacing/>
      <w:ind/>
    </w:pPr>
    <w:rPr>
      <w:sz w:val="20"/>
      <w:szCs w:val="20"/>
    </w:rPr>
  </w:style>
  <w:style w:type="character" w:styleId="188">
    <w:name w:val="FollowedHyperlink"/>
    <w:basedOn w:val="67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6"/>
    <w:next w:val="666"/>
    <w:uiPriority w:val="39"/>
    <w:unhideWhenUsed/>
    <w:pPr>
      <w:pBdr/>
      <w:spacing w:after="100"/>
      <w:ind/>
    </w:pPr>
  </w:style>
  <w:style w:type="paragraph" w:styleId="190">
    <w:name w:val="toc 2"/>
    <w:basedOn w:val="666"/>
    <w:next w:val="666"/>
    <w:uiPriority w:val="39"/>
    <w:unhideWhenUsed/>
    <w:pPr>
      <w:pBdr/>
      <w:spacing w:after="100"/>
      <w:ind w:left="220"/>
    </w:pPr>
  </w:style>
  <w:style w:type="paragraph" w:styleId="191">
    <w:name w:val="toc 3"/>
    <w:basedOn w:val="666"/>
    <w:next w:val="666"/>
    <w:uiPriority w:val="39"/>
    <w:unhideWhenUsed/>
    <w:pPr>
      <w:pBdr/>
      <w:spacing w:after="100"/>
      <w:ind w:left="440"/>
    </w:pPr>
  </w:style>
  <w:style w:type="paragraph" w:styleId="192">
    <w:name w:val="toc 4"/>
    <w:basedOn w:val="666"/>
    <w:next w:val="666"/>
    <w:uiPriority w:val="39"/>
    <w:unhideWhenUsed/>
    <w:pPr>
      <w:pBdr/>
      <w:spacing w:after="100"/>
      <w:ind w:left="660"/>
    </w:pPr>
  </w:style>
  <w:style w:type="paragraph" w:styleId="193">
    <w:name w:val="toc 5"/>
    <w:basedOn w:val="666"/>
    <w:next w:val="666"/>
    <w:uiPriority w:val="39"/>
    <w:unhideWhenUsed/>
    <w:pPr>
      <w:pBdr/>
      <w:spacing w:after="100"/>
      <w:ind w:left="880"/>
    </w:pPr>
  </w:style>
  <w:style w:type="paragraph" w:styleId="194">
    <w:name w:val="toc 6"/>
    <w:basedOn w:val="666"/>
    <w:next w:val="666"/>
    <w:uiPriority w:val="39"/>
    <w:unhideWhenUsed/>
    <w:pPr>
      <w:pBdr/>
      <w:spacing w:after="100"/>
      <w:ind w:left="1100"/>
    </w:pPr>
  </w:style>
  <w:style w:type="paragraph" w:styleId="195">
    <w:name w:val="toc 7"/>
    <w:basedOn w:val="666"/>
    <w:next w:val="666"/>
    <w:uiPriority w:val="39"/>
    <w:unhideWhenUsed/>
    <w:pPr>
      <w:pBdr/>
      <w:spacing w:after="100"/>
      <w:ind w:left="1320"/>
    </w:pPr>
  </w:style>
  <w:style w:type="paragraph" w:styleId="196">
    <w:name w:val="toc 8"/>
    <w:basedOn w:val="666"/>
    <w:next w:val="666"/>
    <w:uiPriority w:val="39"/>
    <w:unhideWhenUsed/>
    <w:pPr>
      <w:pBdr/>
      <w:spacing w:after="100"/>
      <w:ind w:left="1540"/>
    </w:pPr>
  </w:style>
  <w:style w:type="paragraph" w:styleId="197">
    <w:name w:val="toc 9"/>
    <w:basedOn w:val="666"/>
    <w:next w:val="66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7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6"/>
    <w:next w:val="666"/>
    <w:uiPriority w:val="99"/>
    <w:unhideWhenUsed/>
    <w:pPr>
      <w:pBdr/>
      <w:spacing w:after="0" w:afterAutospacing="0"/>
      <w:ind/>
    </w:pPr>
  </w:style>
  <w:style w:type="paragraph" w:styleId="666" w:default="1">
    <w:name w:val="Normal"/>
    <w:qFormat/>
    <w:pPr>
      <w:pBdr/>
      <w:spacing/>
      <w:ind/>
    </w:pPr>
  </w:style>
  <w:style w:type="paragraph" w:styleId="667">
    <w:name w:val="Heading 1"/>
    <w:qFormat/>
    <w:pPr>
      <w:pBdr/>
      <w:spacing/>
      <w:ind/>
      <w:outlineLvl w:val="0"/>
    </w:pPr>
    <w:rPr>
      <w:color w:val="2e74b5"/>
      <w:sz w:val="32"/>
      <w:szCs w:val="32"/>
    </w:rPr>
  </w:style>
  <w:style w:type="paragraph" w:styleId="668">
    <w:name w:val="Heading 2"/>
    <w:qFormat/>
    <w:pPr>
      <w:pBdr/>
      <w:spacing/>
      <w:ind/>
      <w:outlineLvl w:val="1"/>
    </w:pPr>
    <w:rPr>
      <w:color w:val="2e74b5"/>
      <w:sz w:val="26"/>
      <w:szCs w:val="26"/>
    </w:rPr>
  </w:style>
  <w:style w:type="paragraph" w:styleId="669">
    <w:name w:val="Heading 3"/>
    <w:qFormat/>
    <w:pPr>
      <w:pBdr/>
      <w:spacing/>
      <w:ind/>
      <w:outlineLvl w:val="2"/>
    </w:pPr>
    <w:rPr>
      <w:color w:val="1f4d78"/>
      <w:sz w:val="24"/>
      <w:szCs w:val="24"/>
    </w:rPr>
  </w:style>
  <w:style w:type="paragraph" w:styleId="670">
    <w:name w:val="Heading 4"/>
    <w:qFormat/>
    <w:pPr>
      <w:pBdr/>
      <w:spacing/>
      <w:ind/>
      <w:outlineLvl w:val="3"/>
    </w:pPr>
    <w:rPr>
      <w:i/>
      <w:iCs/>
      <w:color w:val="2e74b5"/>
    </w:rPr>
  </w:style>
  <w:style w:type="paragraph" w:styleId="671">
    <w:name w:val="Heading 5"/>
    <w:qFormat/>
    <w:pPr>
      <w:pBdr/>
      <w:spacing/>
      <w:ind/>
      <w:outlineLvl w:val="4"/>
    </w:pPr>
    <w:rPr>
      <w:color w:val="2e74b5"/>
    </w:rPr>
  </w:style>
  <w:style w:type="paragraph" w:styleId="672">
    <w:name w:val="Heading 6"/>
    <w:qFormat/>
    <w:pPr>
      <w:pBdr/>
      <w:spacing/>
      <w:ind/>
      <w:outlineLvl w:val="5"/>
    </w:pPr>
    <w:rPr>
      <w:color w:val="1f4d78"/>
    </w:rPr>
  </w:style>
  <w:style w:type="character" w:styleId="673" w:default="1">
    <w:name w:val="Default Paragraph Font"/>
    <w:uiPriority w:val="1"/>
    <w:semiHidden/>
    <w:unhideWhenUsed/>
    <w:pPr>
      <w:pBdr/>
      <w:spacing/>
      <w:ind/>
    </w:pPr>
  </w:style>
  <w:style w:type="table" w:styleId="67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5" w:default="1">
    <w:name w:val="No List"/>
    <w:uiPriority w:val="99"/>
    <w:semiHidden/>
    <w:unhideWhenUsed/>
    <w:pPr>
      <w:pBdr/>
      <w:spacing/>
      <w:ind/>
    </w:pPr>
  </w:style>
  <w:style w:type="paragraph" w:styleId="676">
    <w:name w:val="Title"/>
    <w:qFormat/>
    <w:pPr>
      <w:pBdr/>
      <w:spacing/>
      <w:ind/>
    </w:pPr>
    <w:rPr>
      <w:sz w:val="56"/>
      <w:szCs w:val="56"/>
    </w:rPr>
  </w:style>
  <w:style w:type="paragraph" w:styleId="677" w:customStyle="1">
    <w:name w:val="Строгий1"/>
    <w:qFormat/>
    <w:pPr>
      <w:pBdr/>
      <w:spacing/>
      <w:ind/>
    </w:pPr>
    <w:rPr>
      <w:b/>
      <w:bCs/>
    </w:rPr>
  </w:style>
  <w:style w:type="paragraph" w:styleId="678">
    <w:name w:val="List Paragraph"/>
    <w:qFormat/>
    <w:pPr>
      <w:pBdr/>
      <w:spacing/>
      <w:ind/>
    </w:pPr>
  </w:style>
  <w:style w:type="character" w:styleId="679">
    <w:name w:val="Hyperlink"/>
    <w:uiPriority w:val="99"/>
    <w:unhideWhenUsed/>
    <w:pPr>
      <w:pBdr/>
      <w:spacing/>
      <w:ind/>
    </w:pPr>
    <w:rPr>
      <w:color w:val="0563c1"/>
      <w:u w:val="single"/>
    </w:rPr>
  </w:style>
  <w:style w:type="character" w:styleId="680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681">
    <w:name w:val="footnote text"/>
    <w:link w:val="682"/>
    <w:uiPriority w:val="99"/>
    <w:semiHidden/>
    <w:unhideWhenUsed/>
    <w:pPr>
      <w:pBdr/>
      <w:spacing/>
      <w:ind/>
    </w:pPr>
  </w:style>
  <w:style w:type="character" w:styleId="682" w:customStyle="1">
    <w:name w:val="Текст сноски Знак"/>
    <w:link w:val="68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68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684">
    <w:name w:val="endnote text"/>
    <w:link w:val="685"/>
    <w:uiPriority w:val="99"/>
    <w:semiHidden/>
    <w:unhideWhenUsed/>
    <w:pPr>
      <w:pBdr/>
      <w:spacing/>
      <w:ind/>
    </w:pPr>
  </w:style>
  <w:style w:type="character" w:styleId="685" w:customStyle="1">
    <w:name w:val="Текст концевой сноски Знак"/>
    <w:link w:val="684"/>
    <w:uiPriority w:val="99"/>
    <w:semiHidden/>
    <w:unhideWhenUsed/>
    <w:pPr>
      <w:pBdr/>
      <w:spacing/>
      <w:ind/>
    </w:pPr>
    <w:rPr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revision>4</cp:revision>
  <dcterms:created xsi:type="dcterms:W3CDTF">2026-08-26T13:01:00Z</dcterms:created>
  <dcterms:modified xsi:type="dcterms:W3CDTF">2026-09-03T08:49:55Z</dcterms:modified>
</cp:coreProperties>
</file>