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1B4FE91" w14:textId="07D1AE3B">
      <w:pPr>
        <w:pBdr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Результаты внешнего анализа коррупционных рисков в деятельности </w:t>
      </w:r>
      <w:r>
        <w:rPr>
          <w:rFonts w:ascii="Times New Roman" w:hAnsi="Times New Roman" w:cs="Times New Roman"/>
          <w:b/>
          <w:sz w:val="28"/>
        </w:rPr>
        <w:t xml:space="preserve">филиала </w:t>
      </w:r>
      <w:r>
        <w:rPr>
          <w:rFonts w:ascii="Times New Roman" w:hAnsi="Times New Roman" w:cs="Times New Roman"/>
          <w:b/>
          <w:sz w:val="28"/>
        </w:rPr>
        <w:t xml:space="preserve">РГКП «</w:t>
      </w:r>
      <w:r>
        <w:rPr>
          <w:rFonts w:ascii="Times New Roman" w:hAnsi="Times New Roman" w:cs="Times New Roman"/>
          <w:b/>
          <w:sz w:val="28"/>
        </w:rPr>
        <w:t xml:space="preserve">Центр судебного экспертиз Министерства юстиции Республики Казахстан» Институт судебных экспертиз по Павлодарской области</w:t>
      </w:r>
      <w:r>
        <w:rPr>
          <w:rFonts w:ascii="Times New Roman" w:hAnsi="Times New Roman" w:cs="Times New Roman"/>
          <w:b/>
          <w:sz w:val="28"/>
        </w:rPr>
      </w:r>
    </w:p>
    <w:p w14:paraId="722441CB" w14:textId="77777777"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 w14:paraId="3ED638B9" w14:textId="0C1CF411"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Департаментом Агентства Республики Казахстан по делам государственной службы по Павлодарской области проведен внешний анализ коррупционных рисков в деятельности филиала РГКП «Центр судебных экспертиз Министерства</w:t>
      </w:r>
      <w:r>
        <w:rPr>
          <w:rFonts w:ascii="Times New Roman" w:hAnsi="Times New Roman" w:cs="Times New Roman"/>
          <w:sz w:val="28"/>
        </w:rPr>
        <w:t xml:space="preserve"> юстиции Республики Казахстан» </w:t>
      </w:r>
      <w:r>
        <w:rPr>
          <w:rFonts w:ascii="Times New Roman" w:hAnsi="Times New Roman" w:cs="Times New Roman"/>
          <w:sz w:val="28"/>
        </w:rPr>
        <w:t xml:space="preserve">Институт судебных экспертиз по Павлодарской области. </w:t>
      </w:r>
      <w:r>
        <w:rPr>
          <w:rFonts w:ascii="Times New Roman" w:hAnsi="Times New Roman" w:cs="Times New Roman"/>
          <w:sz w:val="28"/>
        </w:rPr>
      </w:r>
    </w:p>
    <w:p w14:paraId="3B4AE594" w14:textId="2AB38E5A"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По результатам анализа выявлено порядка 16 рисков </w:t>
      </w:r>
      <w:r>
        <w:rPr>
          <w:rFonts w:ascii="Times New Roman" w:hAnsi="Times New Roman" w:cs="Times New Roman"/>
          <w:sz w:val="28"/>
        </w:rPr>
        <w:t xml:space="preserve">(</w:t>
      </w:r>
      <w:r>
        <w:rPr>
          <w:rFonts w:ascii="Times New Roman" w:hAnsi="Times New Roman" w:cs="Times New Roman"/>
          <w:sz w:val="28"/>
          <w:lang w:val="kk-KZ"/>
        </w:rPr>
        <w:t xml:space="preserve">кейсов</w:t>
      </w:r>
      <w:r>
        <w:rPr>
          <w:rFonts w:ascii="Times New Roman" w:hAnsi="Times New Roman" w:cs="Times New Roman"/>
          <w:sz w:val="28"/>
        </w:rPr>
        <w:t xml:space="preserve">) и выработано 20 рекомендаций </w:t>
      </w:r>
      <w:r>
        <w:rPr>
          <w:rFonts w:ascii="Times New Roman" w:hAnsi="Times New Roman" w:cs="Times New Roman"/>
          <w:sz w:val="28"/>
        </w:rPr>
        <w:t xml:space="preserve">направленных на дальнейшее повышение прозрачности судебно-экспертной деятельности, совершенствование цифровых процессов, укрепление внутреннего контроля и минимизацию субъективного фактора при принятии управленческих решений. </w:t>
      </w:r>
      <w:r>
        <w:rPr>
          <w:rFonts w:ascii="Times New Roman" w:hAnsi="Times New Roman" w:cs="Times New Roman"/>
          <w:sz w:val="28"/>
        </w:rPr>
      </w:r>
    </w:p>
    <w:p w14:paraId="4FDEAE94" w14:textId="0F24C879"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Анализом охва</w:t>
      </w:r>
      <w:r>
        <w:rPr>
          <w:rFonts w:ascii="Times New Roman" w:hAnsi="Times New Roman" w:cs="Times New Roman"/>
          <w:sz w:val="28"/>
        </w:rPr>
        <w:t xml:space="preserve">чены вопросы назначения и производства судебных экспертиз, распределения материалов между экспертами, приема, учета, хранения и возврата объектов исследования и вещественных доказательств, оказания платных услуг, кадровой работы и командировочных расходов.</w:t>
      </w:r>
      <w:r>
        <w:rPr>
          <w:rFonts w:ascii="Times New Roman" w:hAnsi="Times New Roman" w:cs="Times New Roman"/>
          <w:sz w:val="28"/>
        </w:rPr>
      </w:r>
    </w:p>
    <w:p w14:paraId="112B83BB" w14:textId="0C2B0F30"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Рекомендации предусматривают развитие функционала информационной системы «Е-</w:t>
      </w:r>
      <w:r>
        <w:rPr>
          <w:rFonts w:ascii="Times New Roman" w:hAnsi="Times New Roman" w:cs="Times New Roman"/>
          <w:sz w:val="28"/>
          <w:lang w:val="en-US"/>
        </w:rPr>
        <w:t xml:space="preserve">saraptama</w:t>
      </w:r>
      <w:r>
        <w:rPr>
          <w:rFonts w:ascii="Times New Roman" w:hAnsi="Times New Roman" w:cs="Times New Roman"/>
          <w:sz w:val="28"/>
          <w:lang w:val="kk-KZ"/>
        </w:rPr>
        <w:t xml:space="preserve">»</w:t>
      </w:r>
      <w:r>
        <w:rPr>
          <w:rFonts w:ascii="Times New Roman" w:hAnsi="Times New Roman" w:cs="Times New Roman"/>
          <w:sz w:val="28"/>
        </w:rPr>
        <w:t xml:space="preserve">, включая автоматизированное распределение материалов с учетом специализации и нагрузки экспертов, совершенствование разграничения прав доступа и расширение цифрового документооборота.</w:t>
      </w:r>
      <w:r>
        <w:rPr>
          <w:rFonts w:ascii="Times New Roman" w:hAnsi="Times New Roman" w:cs="Times New Roman"/>
          <w:sz w:val="28"/>
        </w:rPr>
      </w:r>
    </w:p>
    <w:p w14:paraId="6AF25E34" w14:textId="4BEC31A9"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Отдельные меры направленные на обеспечение сохранности объектов исследования, автоматизацию учета платных услуг, повышение прозрачности стимулирующих выплат и совершенствование процедур подготовки и оценки судебных экспертиз.</w:t>
      </w:r>
      <w:r>
        <w:rPr>
          <w:rFonts w:ascii="Times New Roman" w:hAnsi="Times New Roman" w:cs="Times New Roman"/>
          <w:sz w:val="28"/>
        </w:rPr>
      </w:r>
    </w:p>
    <w:p w14:paraId="3F3A0AA5" w14:textId="2934A8FE"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рекомендаций позволит </w:t>
      </w:r>
      <w:r>
        <w:rPr>
          <w:rFonts w:ascii="Times New Roman" w:hAnsi="Times New Roman" w:cs="Times New Roman"/>
          <w:sz w:val="28"/>
        </w:rPr>
        <w:t xml:space="preserve">минимизировать субъективный фактор, обеспечить независимость судебных экспертов, повысить эффективность внутреннего контроля и укрепить доверие граждан к судебно-экспертной деятельности.</w:t>
      </w:r>
      <w:r>
        <w:rPr>
          <w:rFonts w:ascii="Times New Roman" w:hAnsi="Times New Roman" w:cs="Times New Roman"/>
          <w:sz w:val="28"/>
        </w:rPr>
      </w:r>
    </w:p>
    <w:p w14:paraId="6443F39C" w14:textId="1DE5919F"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3A37BE58" w14:textId="67F3971A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06F8A9B9" w14:textId="0C93D98E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1F0DCAAB" w14:textId="6F24D0CB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726AF14E" w14:textId="0BB83D64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3617E924" w14:textId="4E57CC50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194608C9" w14:textId="2ECBB3D4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57BE9751" w14:textId="45BFED52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6F003608" w14:textId="7625C98A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22B19E0F" w14:textId="130960B8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69D04051" w14:textId="75405C95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412CB551" w14:textId="6B34C18F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36099B98" w14:textId="29A2D83B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 w14:paraId="11D0643E" w14:textId="2CAD7351"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8"/>
        </w:rPr>
      </w:r>
    </w:p>
    <w:sectPr>
      <w:footnotePr/>
      <w:endnotePr/>
      <w:type w:val="nextPage"/>
      <w:pgSz w:h="16838" w:orient="portrait" w:w="11906"/>
      <w:pgMar w:top="1134" w:right="1134" w:bottom="1134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4"/>
        <w:lang w:val="ru-RU" w:eastAsia="ru-RU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677"/>
    <w:link w:val="6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7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7"/>
    <w:link w:val="6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7"/>
    <w:link w:val="67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7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7"/>
    <w:link w:val="67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7"/>
    <w:link w:val="67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7"/>
    <w:link w:val="67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7"/>
    <w:link w:val="6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7"/>
    <w:link w:val="6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77"/>
    <w:link w:val="6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677"/>
    <w:link w:val="69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677"/>
    <w:link w:val="697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66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7"/>
    <w:link w:val="176"/>
    <w:uiPriority w:val="99"/>
    <w:pPr>
      <w:pBdr/>
      <w:spacing/>
      <w:ind/>
    </w:pPr>
  </w:style>
  <w:style w:type="paragraph" w:styleId="178">
    <w:name w:val="Footer"/>
    <w:basedOn w:val="66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7"/>
    <w:link w:val="178"/>
    <w:uiPriority w:val="99"/>
    <w:pPr>
      <w:pBdr/>
      <w:spacing/>
      <w:ind/>
    </w:pPr>
  </w:style>
  <w:style w:type="paragraph" w:styleId="180">
    <w:name w:val="Caption"/>
    <w:basedOn w:val="667"/>
    <w:next w:val="66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7"/>
    <w:next w:val="667"/>
    <w:uiPriority w:val="39"/>
    <w:unhideWhenUsed/>
    <w:pPr>
      <w:pBdr/>
      <w:spacing w:after="100"/>
      <w:ind/>
    </w:pPr>
  </w:style>
  <w:style w:type="paragraph" w:styleId="190">
    <w:name w:val="toc 2"/>
    <w:basedOn w:val="667"/>
    <w:next w:val="667"/>
    <w:uiPriority w:val="39"/>
    <w:unhideWhenUsed/>
    <w:pPr>
      <w:pBdr/>
      <w:spacing w:after="100"/>
      <w:ind w:left="220"/>
    </w:pPr>
  </w:style>
  <w:style w:type="paragraph" w:styleId="191">
    <w:name w:val="toc 3"/>
    <w:basedOn w:val="667"/>
    <w:next w:val="667"/>
    <w:uiPriority w:val="39"/>
    <w:unhideWhenUsed/>
    <w:pPr>
      <w:pBdr/>
      <w:spacing w:after="100"/>
      <w:ind w:left="440"/>
    </w:pPr>
  </w:style>
  <w:style w:type="paragraph" w:styleId="192">
    <w:name w:val="toc 4"/>
    <w:basedOn w:val="667"/>
    <w:next w:val="667"/>
    <w:uiPriority w:val="39"/>
    <w:unhideWhenUsed/>
    <w:pPr>
      <w:pBdr/>
      <w:spacing w:after="100"/>
      <w:ind w:left="660"/>
    </w:pPr>
  </w:style>
  <w:style w:type="paragraph" w:styleId="193">
    <w:name w:val="toc 5"/>
    <w:basedOn w:val="667"/>
    <w:next w:val="667"/>
    <w:uiPriority w:val="39"/>
    <w:unhideWhenUsed/>
    <w:pPr>
      <w:pBdr/>
      <w:spacing w:after="100"/>
      <w:ind w:left="880"/>
    </w:pPr>
  </w:style>
  <w:style w:type="paragraph" w:styleId="194">
    <w:name w:val="toc 6"/>
    <w:basedOn w:val="667"/>
    <w:next w:val="667"/>
    <w:uiPriority w:val="39"/>
    <w:unhideWhenUsed/>
    <w:pPr>
      <w:pBdr/>
      <w:spacing w:after="100"/>
      <w:ind w:left="1100"/>
    </w:pPr>
  </w:style>
  <w:style w:type="paragraph" w:styleId="195">
    <w:name w:val="toc 7"/>
    <w:basedOn w:val="667"/>
    <w:next w:val="667"/>
    <w:uiPriority w:val="39"/>
    <w:unhideWhenUsed/>
    <w:pPr>
      <w:pBdr/>
      <w:spacing w:after="100"/>
      <w:ind w:left="1320"/>
    </w:pPr>
  </w:style>
  <w:style w:type="paragraph" w:styleId="196">
    <w:name w:val="toc 8"/>
    <w:basedOn w:val="667"/>
    <w:next w:val="667"/>
    <w:uiPriority w:val="39"/>
    <w:unhideWhenUsed/>
    <w:pPr>
      <w:pBdr/>
      <w:spacing w:after="100"/>
      <w:ind w:left="1540"/>
    </w:pPr>
  </w:style>
  <w:style w:type="paragraph" w:styleId="197">
    <w:name w:val="toc 9"/>
    <w:basedOn w:val="667"/>
    <w:next w:val="66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7"/>
    <w:next w:val="667"/>
    <w:uiPriority w:val="99"/>
    <w:unhideWhenUsed/>
    <w:pPr>
      <w:pBdr/>
      <w:spacing w:after="0" w:afterAutospacing="0"/>
      <w:ind/>
    </w:pPr>
  </w:style>
  <w:style w:type="paragraph" w:styleId="667" w:default="1">
    <w:name w:val="Normal"/>
    <w:qFormat/>
    <w:pPr>
      <w:pBdr/>
      <w:spacing/>
      <w:ind/>
    </w:pPr>
  </w:style>
  <w:style w:type="paragraph" w:styleId="668">
    <w:name w:val="Heading 1"/>
    <w:basedOn w:val="667"/>
    <w:next w:val="667"/>
    <w:link w:val="68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69">
    <w:name w:val="Heading 2"/>
    <w:basedOn w:val="667"/>
    <w:next w:val="667"/>
    <w:link w:val="681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70">
    <w:name w:val="Heading 3"/>
    <w:basedOn w:val="667"/>
    <w:next w:val="667"/>
    <w:link w:val="682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71">
    <w:name w:val="Heading 4"/>
    <w:basedOn w:val="667"/>
    <w:next w:val="667"/>
    <w:link w:val="683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72">
    <w:name w:val="Heading 5"/>
    <w:basedOn w:val="667"/>
    <w:next w:val="667"/>
    <w:link w:val="684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673">
    <w:name w:val="Heading 6"/>
    <w:basedOn w:val="667"/>
    <w:next w:val="667"/>
    <w:link w:val="685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4">
    <w:name w:val="Heading 7"/>
    <w:basedOn w:val="667"/>
    <w:next w:val="667"/>
    <w:link w:val="686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675">
    <w:name w:val="Heading 8"/>
    <w:basedOn w:val="667"/>
    <w:next w:val="667"/>
    <w:link w:val="687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76">
    <w:name w:val="Heading 9"/>
    <w:basedOn w:val="667"/>
    <w:next w:val="667"/>
    <w:link w:val="688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677" w:default="1">
    <w:name w:val="Default Paragraph Font"/>
    <w:uiPriority w:val="1"/>
    <w:semiHidden/>
    <w:unhideWhenUsed/>
    <w:pPr>
      <w:pBdr/>
      <w:spacing/>
      <w:ind/>
    </w:pPr>
  </w:style>
  <w:style w:type="table" w:styleId="67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9" w:default="1">
    <w:name w:val="No List"/>
    <w:uiPriority w:val="99"/>
    <w:semiHidden/>
    <w:unhideWhenUsed/>
    <w:pPr>
      <w:pBdr/>
      <w:spacing/>
      <w:ind/>
    </w:pPr>
  </w:style>
  <w:style w:type="character" w:styleId="680" w:customStyle="1">
    <w:name w:val="Заголовок 1 Знак"/>
    <w:basedOn w:val="677"/>
    <w:link w:val="668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81" w:customStyle="1">
    <w:name w:val="Заголовок 2 Знак"/>
    <w:basedOn w:val="677"/>
    <w:link w:val="669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82" w:customStyle="1">
    <w:name w:val="Заголовок 3 Знак"/>
    <w:basedOn w:val="677"/>
    <w:link w:val="670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683" w:customStyle="1">
    <w:name w:val="Заголовок 4 Знак"/>
    <w:basedOn w:val="677"/>
    <w:link w:val="671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684" w:customStyle="1">
    <w:name w:val="Заголовок 5 Знак"/>
    <w:basedOn w:val="677"/>
    <w:link w:val="672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685" w:customStyle="1">
    <w:name w:val="Заголовок 6 Знак"/>
    <w:basedOn w:val="677"/>
    <w:link w:val="673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86" w:customStyle="1">
    <w:name w:val="Заголовок 7 Знак"/>
    <w:basedOn w:val="677"/>
    <w:link w:val="674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87" w:customStyle="1">
    <w:name w:val="Заголовок 8 Знак"/>
    <w:basedOn w:val="677"/>
    <w:link w:val="675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88" w:customStyle="1">
    <w:name w:val="Заголовок 9 Знак"/>
    <w:basedOn w:val="677"/>
    <w:link w:val="676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89">
    <w:name w:val="Title"/>
    <w:basedOn w:val="667"/>
    <w:next w:val="667"/>
    <w:link w:val="690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90" w:customStyle="1">
    <w:name w:val="Заголовок Знак"/>
    <w:basedOn w:val="677"/>
    <w:link w:val="689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91">
    <w:name w:val="Subtitle"/>
    <w:basedOn w:val="667"/>
    <w:next w:val="667"/>
    <w:link w:val="692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92" w:customStyle="1">
    <w:name w:val="Подзаголовок Знак"/>
    <w:basedOn w:val="677"/>
    <w:link w:val="691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93">
    <w:name w:val="Quote"/>
    <w:basedOn w:val="667"/>
    <w:next w:val="667"/>
    <w:link w:val="6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694" w:customStyle="1">
    <w:name w:val="Цитата 2 Знак"/>
    <w:basedOn w:val="677"/>
    <w:link w:val="69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95">
    <w:name w:val="List Paragraph"/>
    <w:basedOn w:val="667"/>
    <w:uiPriority w:val="34"/>
    <w:qFormat/>
    <w:pPr>
      <w:pBdr/>
      <w:spacing/>
      <w:ind w:left="720"/>
      <w:contextualSpacing w:val="true"/>
    </w:pPr>
  </w:style>
  <w:style w:type="character" w:styleId="696">
    <w:name w:val="Intense Emphasis"/>
    <w:basedOn w:val="67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697">
    <w:name w:val="Intense Quote"/>
    <w:basedOn w:val="667"/>
    <w:next w:val="667"/>
    <w:link w:val="69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698" w:customStyle="1">
    <w:name w:val="Выделенная цитата Знак"/>
    <w:basedOn w:val="677"/>
    <w:link w:val="69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699">
    <w:name w:val="Intense Reference"/>
    <w:basedOn w:val="67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ASSET KABDYUAKHITOV</dc:creator>
  <cp:keywords/>
  <dc:description/>
  <cp:revision>15</cp:revision>
  <dcterms:created xsi:type="dcterms:W3CDTF">2026-08-27T11:52:00Z</dcterms:created>
  <dcterms:modified xsi:type="dcterms:W3CDTF">2026-09-03T11:03:14Z</dcterms:modified>
</cp:coreProperties>
</file>