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Результаты внешнего анализа коррупционных рисков в деятельности Института судебных экспертиз по 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Туркестанской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  <w:t xml:space="preserve"> области</w:t>
      </w:r>
      <w:r>
        <w:rPr>
          <w:rFonts w:ascii="Times New Roman" w:hAnsi="Times New Roman" w:eastAsia="Times New Roman" w:cs="Times New Roman"/>
          <w:b/>
          <w:bCs/>
          <w:sz w:val="28"/>
          <w:szCs w:val="24"/>
          <w:lang w:val="ru-RU"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sz w:val="28"/>
          <w:szCs w:val="24"/>
          <w:lang w:val="ru-RU" w:eastAsia="ru-RU"/>
        </w:rPr>
      </w:pPr>
      <w:r/>
      <w:bookmarkStart w:id="0" w:name="_GoBack"/>
      <w:r/>
      <w:bookmarkEnd w:id="0"/>
      <w:r/>
      <w:r>
        <w:rPr>
          <w:rFonts w:ascii="Times New Roman" w:hAnsi="Times New Roman" w:eastAsia="Times New Roman" w:cs="Times New Roman"/>
          <w:sz w:val="28"/>
          <w:szCs w:val="24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 ходе анализа коррупционных рисков изучены вопросы кадрового и организационного обеспечения Института, организаци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и судебно-экспертной деятельности, распределения экспертиз, хранения вещественных доказательств, проведения судебно-медицинских и химико-токсикологических исследований, оказания платных услуг, а также материально-технического и информационного обеспечения.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По результатам анализа установлено, что имеющаяся организационная модель территориальных подразделений не в полной мере обеспечивает единое управление экспертной деятельностью в регионе. Подразделения, расположенные на терр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итории одной области, в отдельных случаях находятся в подчинении различных институтов, что затрудняет координацию работы, распределение кадровых ресурсов, планирование нагрузки экспертов и оперативное реагирование на потребности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Одновременно выявлена недостаточная кадровая обеспеченность по отдельным направлениям судебной экспертизы, в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связи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с чем часть предусмотренных видов исследований фактически не проводится. Это ограничивает возможности Института по проведению полного комплекса экспертных исследований и может влиять на полноту экспертных заключений.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Существенные риски связаны с недостаточностью помещений и материально-технической базы. В частности, судебно-медицинские эксперты размещены в здании патологоанатомического подразделения и используют отд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ельные помещения и оборудование совместно с сотрудниками сторонней организации. Это создает риски доступа посторонних лиц к объектам исследований, нарушения условий их хранения, а также недостаточного обеспечения конфиденциальности экспертной деятельности.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При проведении химико-токсикологических исследований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установлены риски, связанные с передачей биологических образцов экспертам в готовом виде. Отсутствие возможности непосредственного отбора материала самим экспертом создает условия для возможной подмены образцов либо представления недостоверного материала.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 сфере оказания платных услуг выявлен риск получения денежных средств вне установленного порядка вследствие недостаточного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контроля за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фактическим объемом и стоимостью оказываемых услуг. В целях минимизации данного риска требуется обеспечить прозрачный и преимущественно безналичный порядок оплаты.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При хранении вещественных доказательств установлены недостатки системы контроля и видеонаблюдения, что создает риски их утраты, повреждения либо изменения количества. Особую актуальность данный вопрос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имеет при хранении наркотических средств, психотропных веществ и иных объектов, имеющих доказательственное значение.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Отдельные коррупционные риски связаны с организацией выездов экспертов. Отсутствие единого механизма финансирования командировочных расходов и зависимость условий поездки от органа, назначившего экспертизу, могут создавать предпосылки для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внепроцессуальных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контактов и косвенного влияния на независимость эксперта. В связи с этим целесообразно централизовать финансирование командировочных расходов через Институт.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Также выявлены риски при отказе от проведения судебно-медицинского вскрытия трупов.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Такая практика может препятствовать установлению объективных обстоятельств смерти и создает предпосылки для коррупционных проявлений. Необходимо усилить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контроль за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процессом проведения судебно-медицинских исследований, в том числе посредством видеонаблюдения.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Одним из ключевых сис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темных рисков является отсутствие автоматизированного и случайного механизма распределения экспертиз между специалистами. В настоящее время распределение осуществляется с учетом решений руководства, что при определенных обстоятельствах может создавать усло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вия для субъективного выбора эксперта, неравномерного распределения нагрузки и возникновения конфликта интересов. В этой связи целесообразно внедрить цифровой механизм автоматизированного распределения экспертиз с учетом специализации и загрузки экспертов.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В целом проведенный анализ показал, что основные коррупционные риски в деятельности Института обусловлены недостаточным кадровым и материально-техническим обеспечением, организационной раздробленностью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территориальных подразделений, отсутствием автоматизированного распределения экспертиз, недостаточным контролем за объектами исследований и вещественными доказательствами, а также наличием отдельных процессов, зависящих от органов, назначающих экспертизу.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p>
      <w:pPr>
        <w:pBdr/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Для минимизации выявленных рисков необходимо совершенствовать организационную структуру Института, укрепить кадровое и материально-техническое обеспечение, обеспечить 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цифровизацию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  <w:t xml:space="preserve"> ключевых процессов, усилить видеоконтроль и прозрачность операций, а также нормативно укрепить независимость судебных экспертов.</w:t>
      </w:r>
      <w:r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r>
    </w:p>
    <w:sectPr>
      <w:footnotePr/>
      <w:endnotePr/>
      <w:type w:val="nextPage"/>
      <w:pgSz w:h="15840" w:orient="portrait" w:w="12240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50102000706020507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7C782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nsid w:val="52832A99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nsid w:val="6245450E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6A08124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4">
    <w:nsid w:val="6BFC65A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nsid w:val="7486055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6">
    <w:nsid w:val="74A35CF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78"/>
    <w:next w:val="67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78"/>
    <w:next w:val="67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3">
    <w:name w:val="Heading 5"/>
    <w:basedOn w:val="678"/>
    <w:next w:val="67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78"/>
    <w:next w:val="67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78"/>
    <w:next w:val="67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78"/>
    <w:next w:val="67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78"/>
    <w:next w:val="67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67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78"/>
    <w:next w:val="67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78"/>
    <w:next w:val="67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78"/>
    <w:next w:val="67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7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78"/>
    <w:next w:val="67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7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7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7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78"/>
    <w:next w:val="67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7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7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78"/>
    <w:next w:val="678"/>
    <w:uiPriority w:val="39"/>
    <w:unhideWhenUsed/>
    <w:pPr>
      <w:pBdr/>
      <w:spacing w:after="100"/>
      <w:ind/>
    </w:pPr>
  </w:style>
  <w:style w:type="paragraph" w:styleId="190">
    <w:name w:val="toc 2"/>
    <w:basedOn w:val="678"/>
    <w:next w:val="678"/>
    <w:uiPriority w:val="39"/>
    <w:unhideWhenUsed/>
    <w:pPr>
      <w:pBdr/>
      <w:spacing w:after="100"/>
      <w:ind w:left="220"/>
    </w:pPr>
  </w:style>
  <w:style w:type="paragraph" w:styleId="191">
    <w:name w:val="toc 3"/>
    <w:basedOn w:val="678"/>
    <w:next w:val="678"/>
    <w:uiPriority w:val="39"/>
    <w:unhideWhenUsed/>
    <w:pPr>
      <w:pBdr/>
      <w:spacing w:after="100"/>
      <w:ind w:left="440"/>
    </w:pPr>
  </w:style>
  <w:style w:type="paragraph" w:styleId="192">
    <w:name w:val="toc 4"/>
    <w:basedOn w:val="678"/>
    <w:next w:val="678"/>
    <w:uiPriority w:val="39"/>
    <w:unhideWhenUsed/>
    <w:pPr>
      <w:pBdr/>
      <w:spacing w:after="100"/>
      <w:ind w:left="660"/>
    </w:pPr>
  </w:style>
  <w:style w:type="paragraph" w:styleId="193">
    <w:name w:val="toc 5"/>
    <w:basedOn w:val="678"/>
    <w:next w:val="678"/>
    <w:uiPriority w:val="39"/>
    <w:unhideWhenUsed/>
    <w:pPr>
      <w:pBdr/>
      <w:spacing w:after="100"/>
      <w:ind w:left="880"/>
    </w:pPr>
  </w:style>
  <w:style w:type="paragraph" w:styleId="194">
    <w:name w:val="toc 6"/>
    <w:basedOn w:val="678"/>
    <w:next w:val="678"/>
    <w:uiPriority w:val="39"/>
    <w:unhideWhenUsed/>
    <w:pPr>
      <w:pBdr/>
      <w:spacing w:after="100"/>
      <w:ind w:left="1100"/>
    </w:pPr>
  </w:style>
  <w:style w:type="paragraph" w:styleId="195">
    <w:name w:val="toc 7"/>
    <w:basedOn w:val="678"/>
    <w:next w:val="678"/>
    <w:uiPriority w:val="39"/>
    <w:unhideWhenUsed/>
    <w:pPr>
      <w:pBdr/>
      <w:spacing w:after="100"/>
      <w:ind w:left="1320"/>
    </w:pPr>
  </w:style>
  <w:style w:type="paragraph" w:styleId="196">
    <w:name w:val="toc 8"/>
    <w:basedOn w:val="678"/>
    <w:next w:val="678"/>
    <w:uiPriority w:val="39"/>
    <w:unhideWhenUsed/>
    <w:pPr>
      <w:pBdr/>
      <w:spacing w:after="100"/>
      <w:ind w:left="1540"/>
    </w:pPr>
  </w:style>
  <w:style w:type="paragraph" w:styleId="197">
    <w:name w:val="toc 9"/>
    <w:basedOn w:val="678"/>
    <w:next w:val="67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78"/>
    <w:next w:val="678"/>
    <w:uiPriority w:val="99"/>
    <w:unhideWhenUsed/>
    <w:pPr>
      <w:pBdr/>
      <w:spacing w:after="0" w:afterAutospacing="0"/>
      <w:ind/>
    </w:pPr>
  </w:style>
  <w:style w:type="paragraph" w:styleId="678" w:default="1">
    <w:name w:val="Normal"/>
    <w:qFormat/>
    <w:pPr>
      <w:pBdr/>
      <w:spacing/>
      <w:ind/>
    </w:pPr>
  </w:style>
  <w:style w:type="paragraph" w:styleId="679">
    <w:name w:val="Heading 3"/>
    <w:basedOn w:val="678"/>
    <w:link w:val="687"/>
    <w:uiPriority w:val="9"/>
    <w:qFormat/>
    <w:pPr>
      <w:pBdr/>
      <w:spacing w:after="100" w:afterAutospacing="1" w:before="100" w:beforeAutospacing="1" w:line="240" w:lineRule="auto"/>
      <w:ind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680">
    <w:name w:val="Heading 4"/>
    <w:basedOn w:val="678"/>
    <w:link w:val="688"/>
    <w:uiPriority w:val="9"/>
    <w:qFormat/>
    <w:pPr>
      <w:pBdr/>
      <w:spacing w:after="100" w:afterAutospacing="1" w:before="100" w:beforeAutospacing="1" w:line="240" w:lineRule="auto"/>
      <w:ind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paragraph" w:styleId="684">
    <w:name w:val="Normal (Web)"/>
    <w:basedOn w:val="678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685">
    <w:name w:val="Strong"/>
    <w:basedOn w:val="681"/>
    <w:uiPriority w:val="22"/>
    <w:qFormat/>
    <w:pPr>
      <w:pBdr/>
      <w:spacing/>
      <w:ind/>
    </w:pPr>
    <w:rPr>
      <w:b/>
      <w:bCs/>
    </w:rPr>
  </w:style>
  <w:style w:type="table" w:styleId="686">
    <w:name w:val="Table Grid"/>
    <w:basedOn w:val="682"/>
    <w:uiPriority w:val="39"/>
    <w:pPr>
      <w:pBdr/>
      <w:spacing w:after="0" w:line="240" w:lineRule="auto"/>
      <w:ind/>
    </w:pPr>
    <w:rPr>
      <w:lang w:val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87" w:customStyle="1">
    <w:name w:val="Заголовок 3 Знак"/>
    <w:basedOn w:val="681"/>
    <w:link w:val="679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688" w:customStyle="1">
    <w:name w:val="Заголовок 4 Знак"/>
    <w:basedOn w:val="681"/>
    <w:link w:val="680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689">
    <w:name w:val="Balloon Text"/>
    <w:basedOn w:val="678"/>
    <w:link w:val="690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90" w:customStyle="1">
    <w:name w:val="Текст выноски Знак"/>
    <w:basedOn w:val="681"/>
    <w:link w:val="689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ONLYOFFICE/9.2.0.100</Application>
  <DocSecurity>0</DocSecurity>
  <ScaleCrop>0</ScaleCrop>
  <HeadingPairs>
    <vt:vector size="0" baseType="variant"/>
  </HeadingPairs>
  <TitlesOfParts>
    <vt:vector size="0" baseType="lpstr"/>
  </TitlesOfParts>
  <Company>Home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4</cp:revision>
  <dcterms:created xsi:type="dcterms:W3CDTF">2026-09-02T15:16:00Z</dcterms:created>
  <dcterms:modified xsi:type="dcterms:W3CDTF">2026-09-04T07:32:50Z</dcterms:modified>
</cp:coreProperties>
</file>